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ind w:left="0" w:leftChars="0" w:firstLine="0" w:firstLine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国信国际工程咨询集团股份有限公司</w:t>
      </w:r>
    </w:p>
    <w:p>
      <w:pPr>
        <w:numPr>
          <w:ilvl w:val="0"/>
          <w:numId w:val="0"/>
        </w:numPr>
        <w:ind w:leftChars="0"/>
        <w:jc w:val="left"/>
        <w:rPr>
          <w:rFonts w:hint="eastAsia" w:ascii="仿宋_GB2312" w:hAnsi="仿宋_GB2312" w:eastAsia="仿宋_GB2312" w:cs="仿宋_GB2312"/>
          <w:b/>
          <w:bCs/>
          <w:sz w:val="28"/>
          <w:szCs w:val="28"/>
          <w:lang w:val="en-US" w:eastAsia="zh-CN"/>
        </w:rPr>
      </w:pPr>
      <w:r>
        <w:drawing>
          <wp:inline distT="0" distB="0" distL="114300" distR="114300">
            <wp:extent cx="5272405" cy="5249545"/>
            <wp:effectExtent l="0" t="0" r="1079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72405" cy="5249545"/>
                    </a:xfrm>
                    <a:prstGeom prst="rect">
                      <a:avLst/>
                    </a:prstGeom>
                    <a:noFill/>
                    <a:ln>
                      <a:noFill/>
                    </a:ln>
                  </pic:spPr>
                </pic:pic>
              </a:graphicData>
            </a:graphic>
          </wp:inline>
        </w:drawing>
      </w:r>
    </w:p>
    <w:p>
      <w:pPr>
        <w:numPr>
          <w:ilvl w:val="0"/>
          <w:numId w:val="1"/>
        </w:numPr>
        <w:ind w:left="0" w:leftChars="0" w:firstLine="0" w:firstLine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中信国际招标有限公司</w:t>
      </w:r>
    </w:p>
    <w:p>
      <w:pPr>
        <w:numPr>
          <w:ilvl w:val="0"/>
          <w:numId w:val="0"/>
        </w:numPr>
        <w:ind w:leftChars="0"/>
        <w:jc w:val="left"/>
        <w:rPr>
          <w:rFonts w:hint="eastAsia" w:ascii="仿宋_GB2312" w:hAnsi="仿宋_GB2312" w:eastAsia="仿宋_GB2312" w:cs="仿宋_GB2312"/>
          <w:b/>
          <w:bCs/>
          <w:sz w:val="28"/>
          <w:szCs w:val="28"/>
          <w:lang w:val="en-US" w:eastAsia="zh-CN"/>
        </w:rPr>
      </w:pPr>
      <w:r>
        <w:drawing>
          <wp:inline distT="0" distB="0" distL="114300" distR="114300">
            <wp:extent cx="5271135" cy="3729355"/>
            <wp:effectExtent l="0" t="0" r="1206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1135" cy="3729355"/>
                    </a:xfrm>
                    <a:prstGeom prst="rect">
                      <a:avLst/>
                    </a:prstGeom>
                    <a:noFill/>
                    <a:ln>
                      <a:noFill/>
                    </a:ln>
                  </pic:spPr>
                </pic:pic>
              </a:graphicData>
            </a:graphic>
          </wp:inline>
        </w:drawing>
      </w:r>
    </w:p>
    <w:p>
      <w:pPr>
        <w:numPr>
          <w:ilvl w:val="0"/>
          <w:numId w:val="1"/>
        </w:numPr>
        <w:ind w:left="0" w:leftChars="0" w:firstLine="0" w:firstLine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中招国际招标有限公司</w:t>
      </w:r>
    </w:p>
    <w:p>
      <w:pPr>
        <w:numPr>
          <w:ilvl w:val="0"/>
          <w:numId w:val="0"/>
        </w:numPr>
        <w:ind w:leftChars="0"/>
        <w:jc w:val="left"/>
        <w:rPr>
          <w:rFonts w:hint="eastAsia" w:ascii="仿宋_GB2312" w:hAnsi="仿宋_GB2312" w:eastAsia="仿宋_GB2312" w:cs="仿宋_GB2312"/>
          <w:b/>
          <w:bCs/>
          <w:sz w:val="28"/>
          <w:szCs w:val="28"/>
          <w:lang w:val="en-US" w:eastAsia="zh-CN"/>
        </w:rPr>
      </w:pPr>
      <w:r>
        <w:drawing>
          <wp:inline distT="0" distB="0" distL="114300" distR="114300">
            <wp:extent cx="5273675" cy="3794125"/>
            <wp:effectExtent l="0" t="0" r="9525"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273675" cy="3794125"/>
                    </a:xfrm>
                    <a:prstGeom prst="rect">
                      <a:avLst/>
                    </a:prstGeom>
                    <a:noFill/>
                    <a:ln>
                      <a:noFill/>
                    </a:ln>
                  </pic:spPr>
                </pic:pic>
              </a:graphicData>
            </a:graphic>
          </wp:inline>
        </w:drawing>
      </w:r>
    </w:p>
    <w:p>
      <w:pPr>
        <w:numPr>
          <w:ilvl w:val="0"/>
          <w:numId w:val="1"/>
        </w:numPr>
        <w:ind w:left="0" w:leftChars="0" w:firstLine="0" w:firstLine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江苏省招标中心有限公司</w:t>
      </w:r>
    </w:p>
    <w:p>
      <w:pPr>
        <w:numPr>
          <w:ilvl w:val="0"/>
          <w:numId w:val="0"/>
        </w:numPr>
        <w:ind w:leftChars="0"/>
        <w:jc w:val="left"/>
        <w:rPr>
          <w:rFonts w:hint="eastAsia" w:ascii="仿宋_GB2312" w:hAnsi="仿宋_GB2312" w:eastAsia="仿宋_GB2312" w:cs="仿宋_GB2312"/>
          <w:b/>
          <w:bCs/>
          <w:sz w:val="28"/>
          <w:szCs w:val="28"/>
          <w:lang w:val="en-US" w:eastAsia="zh-CN"/>
        </w:rPr>
      </w:pPr>
      <w:r>
        <w:drawing>
          <wp:inline distT="0" distB="0" distL="114300" distR="114300">
            <wp:extent cx="5278120" cy="4258310"/>
            <wp:effectExtent l="0" t="0" r="5080" b="889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78120" cy="4258310"/>
                    </a:xfrm>
                    <a:prstGeom prst="rect">
                      <a:avLst/>
                    </a:prstGeom>
                    <a:noFill/>
                    <a:ln>
                      <a:noFill/>
                    </a:ln>
                  </pic:spPr>
                </pic:pic>
              </a:graphicData>
            </a:graphic>
          </wp:inline>
        </w:drawing>
      </w:r>
    </w:p>
    <w:p>
      <w:pPr>
        <w:numPr>
          <w:ilvl w:val="0"/>
          <w:numId w:val="1"/>
        </w:numPr>
        <w:ind w:left="0" w:leftChars="0" w:firstLine="0" w:firstLine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中国通信建设集团有限公司</w:t>
      </w:r>
    </w:p>
    <w:p>
      <w:pPr>
        <w:rPr>
          <w:rFonts w:hint="default"/>
          <w:lang w:val="en-US" w:eastAsia="zh-CN"/>
        </w:rPr>
      </w:pPr>
    </w:p>
    <w:p>
      <w:pPr>
        <w:numPr>
          <w:numId w:val="0"/>
        </w:numPr>
        <w:spacing w:line="360" w:lineRule="auto"/>
        <w:ind w:left="400" w:leftChars="0" w:right="0" w:rightChars="0"/>
        <w:rPr>
          <w:rFonts w:hint="eastAsia" w:ascii="仿宋_GB2312" w:hAnsi="仿宋_GB2312" w:eastAsia="仿宋_GB2312" w:cs="仿宋_GB2312"/>
          <w:sz w:val="28"/>
          <w:szCs w:val="28"/>
          <w:highlight w:val="none"/>
          <w:lang w:val="en-US" w:eastAsia="zh-CN"/>
        </w:rPr>
      </w:pPr>
      <w:r>
        <w:drawing>
          <wp:inline distT="0" distB="0" distL="114300" distR="114300">
            <wp:extent cx="5276215" cy="600011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6215" cy="6000115"/>
                    </a:xfrm>
                    <a:prstGeom prst="rect">
                      <a:avLst/>
                    </a:prstGeom>
                    <a:noFill/>
                    <a:ln>
                      <a:noFill/>
                    </a:ln>
                  </pic:spPr>
                </pic:pic>
              </a:graphicData>
            </a:graphic>
          </wp:inline>
        </w:drawing>
      </w:r>
      <w:bookmarkStart w:id="0" w:name="_GoBack"/>
      <w:bookmarkEnd w:id="0"/>
    </w:p>
    <w:p>
      <w:pPr>
        <w:numPr>
          <w:ilvl w:val="0"/>
          <w:numId w:val="2"/>
        </w:numPr>
        <w:spacing w:line="360" w:lineRule="auto"/>
        <w:ind w:left="0" w:leftChars="0" w:right="0" w:rightChars="0" w:firstLine="40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国信国际工程咨询集团股份有限公司</w:t>
      </w:r>
    </w:p>
    <w:tbl>
      <w:tblPr>
        <w:tblStyle w:val="5"/>
        <w:tblW w:w="4998" w:type="pct"/>
        <w:tblInd w:w="0" w:type="dxa"/>
        <w:tblLayout w:type="autofit"/>
        <w:tblCellMar>
          <w:top w:w="0" w:type="dxa"/>
          <w:left w:w="0" w:type="dxa"/>
          <w:bottom w:w="0" w:type="dxa"/>
          <w:right w:w="0" w:type="dxa"/>
        </w:tblCellMar>
      </w:tblPr>
      <w:tblGrid>
        <w:gridCol w:w="2199"/>
        <w:gridCol w:w="911"/>
        <w:gridCol w:w="2330"/>
        <w:gridCol w:w="1274"/>
        <w:gridCol w:w="1619"/>
      </w:tblGrid>
      <w:tr>
        <w:tblPrEx>
          <w:tblCellMar>
            <w:top w:w="0" w:type="dxa"/>
            <w:left w:w="0" w:type="dxa"/>
            <w:bottom w:w="0" w:type="dxa"/>
            <w:right w:w="0" w:type="dxa"/>
          </w:tblCellMar>
        </w:tblPrEx>
        <w:trPr>
          <w:trHeight w:val="446" w:hRule="atLeast"/>
        </w:trPr>
        <w:tc>
          <w:tcPr>
            <w:tcW w:w="13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结算基准价</w:t>
            </w:r>
          </w:p>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（元/不含税）</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税率（%）</w:t>
            </w:r>
          </w:p>
        </w:tc>
        <w:tc>
          <w:tcPr>
            <w:tcW w:w="13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结算基准价（元/含税）</w:t>
            </w: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最高限价（元/含税）</w:t>
            </w:r>
          </w:p>
        </w:tc>
        <w:tc>
          <w:tcPr>
            <w:tcW w:w="97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单项目结算费用最高限价</w:t>
            </w:r>
          </w:p>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（元/含税）</w:t>
            </w:r>
          </w:p>
        </w:tc>
      </w:tr>
      <w:tr>
        <w:tblPrEx>
          <w:tblCellMar>
            <w:top w:w="0" w:type="dxa"/>
            <w:left w:w="0" w:type="dxa"/>
            <w:bottom w:w="0" w:type="dxa"/>
            <w:right w:w="0" w:type="dxa"/>
          </w:tblCellMar>
        </w:tblPrEx>
        <w:trPr>
          <w:trHeight w:val="683" w:hRule="atLeast"/>
        </w:trPr>
        <w:tc>
          <w:tcPr>
            <w:tcW w:w="13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16000</w:t>
            </w:r>
          </w:p>
        </w:tc>
        <w:tc>
          <w:tcPr>
            <w:tcW w:w="5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13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16960</w:t>
            </w: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30,000.00</w:t>
            </w:r>
          </w:p>
        </w:tc>
        <w:tc>
          <w:tcPr>
            <w:tcW w:w="97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90,000.00</w:t>
            </w:r>
          </w:p>
        </w:tc>
      </w:tr>
    </w:tbl>
    <w:p>
      <w:pPr>
        <w:numPr>
          <w:ilvl w:val="0"/>
          <w:numId w:val="2"/>
        </w:numPr>
        <w:spacing w:line="360" w:lineRule="auto"/>
        <w:ind w:left="0" w:leftChars="0" w:right="0" w:rightChars="0" w:firstLine="40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中信国际招标有限公司</w:t>
      </w:r>
    </w:p>
    <w:tbl>
      <w:tblPr>
        <w:tblStyle w:val="5"/>
        <w:tblW w:w="8339" w:type="dxa"/>
        <w:tblInd w:w="0" w:type="dxa"/>
        <w:tblLayout w:type="fixed"/>
        <w:tblCellMar>
          <w:top w:w="0" w:type="dxa"/>
          <w:left w:w="0" w:type="dxa"/>
          <w:bottom w:w="0" w:type="dxa"/>
          <w:right w:w="0" w:type="dxa"/>
        </w:tblCellMar>
      </w:tblPr>
      <w:tblGrid>
        <w:gridCol w:w="1300"/>
        <w:gridCol w:w="1513"/>
        <w:gridCol w:w="2142"/>
        <w:gridCol w:w="1392"/>
        <w:gridCol w:w="1992"/>
      </w:tblGrid>
      <w:tr>
        <w:tblPrEx>
          <w:tblCellMar>
            <w:top w:w="0" w:type="dxa"/>
            <w:left w:w="0" w:type="dxa"/>
            <w:bottom w:w="0" w:type="dxa"/>
            <w:right w:w="0" w:type="dxa"/>
          </w:tblCellMar>
        </w:tblPrEx>
        <w:trPr>
          <w:trHeight w:val="446" w:hRule="atLeast"/>
        </w:trPr>
        <w:tc>
          <w:tcPr>
            <w:tcW w:w="1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结算基准价（元/不含税）</w:t>
            </w:r>
          </w:p>
        </w:tc>
        <w:tc>
          <w:tcPr>
            <w:tcW w:w="15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税率（%）</w:t>
            </w:r>
          </w:p>
        </w:tc>
        <w:tc>
          <w:tcPr>
            <w:tcW w:w="2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结算基准价（元/含税）</w:t>
            </w:r>
          </w:p>
        </w:tc>
        <w:tc>
          <w:tcPr>
            <w:tcW w:w="1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最高限价（元/含税）</w:t>
            </w:r>
          </w:p>
        </w:tc>
        <w:tc>
          <w:tcPr>
            <w:tcW w:w="19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单项目结算费用最高限价（元/含税）</w:t>
            </w:r>
          </w:p>
        </w:tc>
      </w:tr>
      <w:tr>
        <w:tblPrEx>
          <w:tblCellMar>
            <w:top w:w="0" w:type="dxa"/>
            <w:left w:w="0" w:type="dxa"/>
            <w:bottom w:w="0" w:type="dxa"/>
            <w:right w:w="0" w:type="dxa"/>
          </w:tblCellMar>
        </w:tblPrEx>
        <w:trPr>
          <w:trHeight w:val="270" w:hRule="atLeast"/>
        </w:trPr>
        <w:tc>
          <w:tcPr>
            <w:tcW w:w="1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15,094.34</w:t>
            </w:r>
          </w:p>
        </w:tc>
        <w:tc>
          <w:tcPr>
            <w:tcW w:w="15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c>
          <w:tcPr>
            <w:tcW w:w="2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16,000.00</w:t>
            </w:r>
          </w:p>
        </w:tc>
        <w:tc>
          <w:tcPr>
            <w:tcW w:w="1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30,000.00</w:t>
            </w:r>
          </w:p>
        </w:tc>
        <w:tc>
          <w:tcPr>
            <w:tcW w:w="19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90,000.00</w:t>
            </w:r>
          </w:p>
        </w:tc>
      </w:tr>
    </w:tbl>
    <w:p>
      <w:pPr>
        <w:numPr>
          <w:ilvl w:val="0"/>
          <w:numId w:val="2"/>
        </w:numPr>
        <w:spacing w:line="360" w:lineRule="auto"/>
        <w:ind w:left="0" w:leftChars="0" w:right="0" w:rightChars="0" w:firstLine="40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中招国际招标有限公司</w:t>
      </w:r>
    </w:p>
    <w:tbl>
      <w:tblPr>
        <w:tblStyle w:val="5"/>
        <w:tblW w:w="4998" w:type="pct"/>
        <w:tblInd w:w="0" w:type="dxa"/>
        <w:tblLayout w:type="autofit"/>
        <w:tblCellMar>
          <w:top w:w="0" w:type="dxa"/>
          <w:left w:w="0" w:type="dxa"/>
          <w:bottom w:w="0" w:type="dxa"/>
          <w:right w:w="0" w:type="dxa"/>
        </w:tblCellMar>
      </w:tblPr>
      <w:tblGrid>
        <w:gridCol w:w="1411"/>
        <w:gridCol w:w="1269"/>
        <w:gridCol w:w="2215"/>
        <w:gridCol w:w="1531"/>
        <w:gridCol w:w="1907"/>
      </w:tblGrid>
      <w:tr>
        <w:tblPrEx>
          <w:tblCellMar>
            <w:top w:w="0" w:type="dxa"/>
            <w:left w:w="0" w:type="dxa"/>
            <w:bottom w:w="0" w:type="dxa"/>
            <w:right w:w="0" w:type="dxa"/>
          </w:tblCellMar>
        </w:tblPrEx>
        <w:trPr>
          <w:trHeight w:val="446" w:hRule="atLeast"/>
        </w:trPr>
        <w:tc>
          <w:tcPr>
            <w:tcW w:w="8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结算基准价（元/不含税）</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税率（%）</w:t>
            </w:r>
          </w:p>
        </w:tc>
        <w:tc>
          <w:tcPr>
            <w:tcW w:w="132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结算基准价（元/含税）</w:t>
            </w:r>
          </w:p>
        </w:tc>
        <w:tc>
          <w:tcPr>
            <w:tcW w:w="9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最高限价（元/含税）</w:t>
            </w:r>
          </w:p>
        </w:tc>
        <w:tc>
          <w:tcPr>
            <w:tcW w:w="11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单项目结算费用最高限价（元/含税）</w:t>
            </w:r>
          </w:p>
        </w:tc>
      </w:tr>
      <w:tr>
        <w:tblPrEx>
          <w:tblCellMar>
            <w:top w:w="0" w:type="dxa"/>
            <w:left w:w="0" w:type="dxa"/>
            <w:bottom w:w="0" w:type="dxa"/>
            <w:right w:w="0" w:type="dxa"/>
          </w:tblCellMar>
        </w:tblPrEx>
        <w:trPr>
          <w:trHeight w:val="790" w:hRule="atLeast"/>
        </w:trPr>
        <w:tc>
          <w:tcPr>
            <w:tcW w:w="84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20754.72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132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22000.00</w:t>
            </w:r>
          </w:p>
        </w:tc>
        <w:tc>
          <w:tcPr>
            <w:tcW w:w="91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30,000.00</w:t>
            </w:r>
          </w:p>
        </w:tc>
        <w:tc>
          <w:tcPr>
            <w:tcW w:w="11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90,000.00</w:t>
            </w:r>
          </w:p>
        </w:tc>
      </w:tr>
    </w:tbl>
    <w:p>
      <w:pPr>
        <w:numPr>
          <w:ilvl w:val="0"/>
          <w:numId w:val="2"/>
        </w:numPr>
        <w:spacing w:line="360" w:lineRule="auto"/>
        <w:ind w:left="0" w:leftChars="0" w:right="0" w:rightChars="0" w:firstLine="40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江苏省招标中心有限公司</w:t>
      </w:r>
    </w:p>
    <w:tbl>
      <w:tblPr>
        <w:tblStyle w:val="5"/>
        <w:tblW w:w="4998" w:type="pct"/>
        <w:jc w:val="center"/>
        <w:tblLayout w:type="autofit"/>
        <w:tblCellMar>
          <w:top w:w="0" w:type="dxa"/>
          <w:left w:w="0" w:type="dxa"/>
          <w:bottom w:w="0" w:type="dxa"/>
          <w:right w:w="0" w:type="dxa"/>
        </w:tblCellMar>
      </w:tblPr>
      <w:tblGrid>
        <w:gridCol w:w="1525"/>
        <w:gridCol w:w="1462"/>
        <w:gridCol w:w="2072"/>
        <w:gridCol w:w="1346"/>
        <w:gridCol w:w="1928"/>
      </w:tblGrid>
      <w:tr>
        <w:tblPrEx>
          <w:tblCellMar>
            <w:top w:w="0" w:type="dxa"/>
            <w:left w:w="0" w:type="dxa"/>
            <w:bottom w:w="0" w:type="dxa"/>
            <w:right w:w="0" w:type="dxa"/>
          </w:tblCellMar>
        </w:tblPrEx>
        <w:trPr>
          <w:trHeight w:val="446" w:hRule="atLeast"/>
          <w:jc w:val="center"/>
        </w:trPr>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结算基准价（元/不含税）</w:t>
            </w:r>
          </w:p>
        </w:tc>
        <w:tc>
          <w:tcPr>
            <w:tcW w:w="8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税率（%）</w:t>
            </w:r>
          </w:p>
        </w:tc>
        <w:tc>
          <w:tcPr>
            <w:tcW w:w="12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0"/>
                <w:sz w:val="21"/>
                <w:szCs w:val="21"/>
                <w:highlight w:val="none"/>
              </w:rPr>
              <w:t>结算基准价（元/含税）</w:t>
            </w:r>
          </w:p>
        </w:tc>
        <w:tc>
          <w:tcPr>
            <w:tcW w:w="80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最高限价（元/含税）</w:t>
            </w:r>
          </w:p>
        </w:tc>
        <w:tc>
          <w:tcPr>
            <w:tcW w:w="11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1"/>
                <w:szCs w:val="21"/>
                <w:highlight w:val="none"/>
              </w:rPr>
            </w:pPr>
            <w:r>
              <w:rPr>
                <w:rFonts w:hint="eastAsia" w:ascii="仿宋_GB2312" w:hAnsi="仿宋_GB2312" w:eastAsia="仿宋_GB2312" w:cs="仿宋_GB2312"/>
                <w:color w:val="000000"/>
                <w:kern w:val="0"/>
                <w:sz w:val="21"/>
                <w:szCs w:val="21"/>
                <w:highlight w:val="none"/>
              </w:rPr>
              <w:t>单项目结算费用最高限价（元/含税）</w:t>
            </w:r>
          </w:p>
        </w:tc>
      </w:tr>
      <w:tr>
        <w:tblPrEx>
          <w:tblCellMar>
            <w:top w:w="0" w:type="dxa"/>
            <w:left w:w="0" w:type="dxa"/>
            <w:bottom w:w="0" w:type="dxa"/>
            <w:right w:w="0" w:type="dxa"/>
          </w:tblCellMar>
        </w:tblPrEx>
        <w:trPr>
          <w:trHeight w:val="270" w:hRule="atLeast"/>
          <w:jc w:val="center"/>
        </w:trPr>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20000元</w:t>
            </w:r>
          </w:p>
        </w:tc>
        <w:tc>
          <w:tcPr>
            <w:tcW w:w="8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w:t>
            </w:r>
          </w:p>
        </w:tc>
        <w:tc>
          <w:tcPr>
            <w:tcW w:w="12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21200元</w:t>
            </w:r>
          </w:p>
        </w:tc>
        <w:tc>
          <w:tcPr>
            <w:tcW w:w="80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30,000.00</w:t>
            </w:r>
          </w:p>
        </w:tc>
        <w:tc>
          <w:tcPr>
            <w:tcW w:w="11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90,000.00</w:t>
            </w:r>
          </w:p>
        </w:tc>
      </w:tr>
    </w:tbl>
    <w:p>
      <w:pPr>
        <w:numPr>
          <w:ilvl w:val="0"/>
          <w:numId w:val="2"/>
        </w:numPr>
        <w:spacing w:line="360" w:lineRule="auto"/>
        <w:ind w:left="0" w:leftChars="0" w:right="0" w:rightChars="0" w:firstLine="40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中国通信建设集团有限公司</w:t>
      </w:r>
    </w:p>
    <w:tbl>
      <w:tblPr>
        <w:tblStyle w:val="5"/>
        <w:tblW w:w="4998" w:type="pct"/>
        <w:tblInd w:w="0" w:type="dxa"/>
        <w:tblLayout w:type="autofit"/>
        <w:tblCellMar>
          <w:top w:w="0" w:type="dxa"/>
          <w:left w:w="0" w:type="dxa"/>
          <w:bottom w:w="0" w:type="dxa"/>
          <w:right w:w="0" w:type="dxa"/>
        </w:tblCellMar>
      </w:tblPr>
      <w:tblGrid>
        <w:gridCol w:w="1299"/>
        <w:gridCol w:w="1512"/>
        <w:gridCol w:w="2141"/>
        <w:gridCol w:w="1390"/>
        <w:gridCol w:w="1991"/>
      </w:tblGrid>
      <w:tr>
        <w:trPr>
          <w:trHeight w:val="446" w:hRule="atLeast"/>
        </w:trPr>
        <w:tc>
          <w:tcPr>
            <w:tcW w:w="77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p>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结算基准价（元/不含税）</w:t>
            </w:r>
          </w:p>
        </w:tc>
        <w:tc>
          <w:tcPr>
            <w:tcW w:w="90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税率（%）</w:t>
            </w:r>
          </w:p>
        </w:tc>
        <w:tc>
          <w:tcPr>
            <w:tcW w:w="1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结算基准价（元/含税）</w:t>
            </w: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最高限价（元/含税）</w:t>
            </w:r>
          </w:p>
        </w:tc>
        <w:tc>
          <w:tcPr>
            <w:tcW w:w="11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单项目结算费用最高限价（元/含税）</w:t>
            </w:r>
          </w:p>
        </w:tc>
      </w:tr>
      <w:tr>
        <w:tblPrEx>
          <w:tblCellMar>
            <w:top w:w="0" w:type="dxa"/>
            <w:left w:w="0" w:type="dxa"/>
            <w:bottom w:w="0" w:type="dxa"/>
            <w:right w:w="0" w:type="dxa"/>
          </w:tblCellMar>
        </w:tblPrEx>
        <w:trPr>
          <w:trHeight w:val="270" w:hRule="atLeast"/>
        </w:trPr>
        <w:tc>
          <w:tcPr>
            <w:tcW w:w="77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13679.25</w:t>
            </w:r>
          </w:p>
        </w:tc>
        <w:tc>
          <w:tcPr>
            <w:tcW w:w="90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c>
          <w:tcPr>
            <w:tcW w:w="128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14500.00</w:t>
            </w:r>
          </w:p>
        </w:tc>
        <w:tc>
          <w:tcPr>
            <w:tcW w:w="8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30,000.00</w:t>
            </w:r>
          </w:p>
        </w:tc>
        <w:tc>
          <w:tcPr>
            <w:tcW w:w="119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90,000.00</w:t>
            </w:r>
          </w:p>
        </w:tc>
      </w:tr>
    </w:tbl>
    <w:p>
      <w:pPr>
        <w:pStyle w:val="3"/>
        <w:widowControl w:val="0"/>
        <w:snapToGrid w:val="0"/>
        <w:spacing w:before="0" w:beforeAutospacing="0" w:after="0" w:afterAutospacing="0" w:line="360" w:lineRule="auto"/>
        <w:jc w:val="both"/>
        <w:rPr>
          <w:rFonts w:hint="eastAsia" w:ascii="仿宋_GB2312" w:hAnsi="仿宋_GB2312" w:eastAsia="仿宋_GB2312" w:cs="仿宋_GB2312"/>
          <w:color w:val="000000"/>
          <w:kern w:val="2"/>
          <w:sz w:val="21"/>
          <w:szCs w:val="21"/>
          <w:highlight w:val="none"/>
        </w:rPr>
      </w:pPr>
      <w:r>
        <w:rPr>
          <w:rFonts w:hint="eastAsia" w:ascii="仿宋_GB2312" w:hAnsi="仿宋_GB2312" w:eastAsia="仿宋_GB2312" w:cs="仿宋_GB2312"/>
          <w:color w:val="000000"/>
          <w:kern w:val="2"/>
          <w:sz w:val="21"/>
          <w:szCs w:val="21"/>
          <w:highlight w:val="none"/>
        </w:rPr>
        <w:t>注：</w:t>
      </w:r>
    </w:p>
    <w:p>
      <w:pPr>
        <w:pStyle w:val="3"/>
        <w:widowControl w:val="0"/>
        <w:numPr>
          <w:ilvl w:val="0"/>
          <w:numId w:val="3"/>
        </w:numPr>
        <w:snapToGrid w:val="0"/>
        <w:spacing w:before="0" w:beforeAutospacing="0" w:after="0" w:afterAutospacing="0" w:line="360" w:lineRule="auto"/>
        <w:ind w:left="0" w:leftChars="0" w:firstLine="420" w:firstLineChars="200"/>
        <w:jc w:val="both"/>
        <w:rPr>
          <w:rFonts w:hint="eastAsia" w:ascii="仿宋_GB2312" w:hAnsi="仿宋_GB2312" w:eastAsia="仿宋_GB2312" w:cs="仿宋_GB2312"/>
          <w:color w:val="000000"/>
          <w:kern w:val="2"/>
          <w:sz w:val="21"/>
          <w:szCs w:val="21"/>
          <w:highlight w:val="none"/>
        </w:rPr>
      </w:pPr>
      <w:r>
        <w:rPr>
          <w:rFonts w:hint="eastAsia" w:ascii="仿宋_GB2312" w:hAnsi="仿宋_GB2312" w:eastAsia="仿宋_GB2312" w:cs="仿宋_GB2312"/>
          <w:color w:val="000000"/>
          <w:kern w:val="2"/>
          <w:sz w:val="21"/>
          <w:szCs w:val="21"/>
          <w:highlight w:val="none"/>
        </w:rPr>
        <w:t>以上价格包括完成项目所需的全部费用，我公司不再向中国工商银行收取其他任何费用。</w:t>
      </w:r>
    </w:p>
    <w:p>
      <w:pPr>
        <w:pStyle w:val="3"/>
        <w:widowControl w:val="0"/>
        <w:numPr>
          <w:ilvl w:val="0"/>
          <w:numId w:val="3"/>
        </w:numPr>
        <w:snapToGrid w:val="0"/>
        <w:spacing w:before="0" w:beforeAutospacing="0" w:after="0" w:afterAutospacing="0" w:line="360" w:lineRule="auto"/>
        <w:ind w:left="0" w:leftChars="0" w:firstLine="420" w:firstLineChars="200"/>
        <w:jc w:val="both"/>
        <w:rPr>
          <w:rFonts w:hint="eastAsia" w:ascii="仿宋_GB2312" w:hAnsi="仿宋_GB2312" w:eastAsia="仿宋_GB2312" w:cs="仿宋_GB2312"/>
          <w:color w:val="000000"/>
          <w:kern w:val="2"/>
          <w:sz w:val="21"/>
          <w:szCs w:val="21"/>
          <w:highlight w:val="none"/>
        </w:rPr>
      </w:pPr>
      <w:r>
        <w:rPr>
          <w:rFonts w:hint="eastAsia" w:ascii="仿宋_GB2312" w:hAnsi="仿宋_GB2312" w:eastAsia="仿宋_GB2312" w:cs="仿宋_GB2312"/>
          <w:color w:val="000000"/>
          <w:kern w:val="2"/>
          <w:sz w:val="21"/>
          <w:szCs w:val="21"/>
          <w:highlight w:val="none"/>
        </w:rPr>
        <w:t>结算基准价（含税）=（1+增值税税率）*结算基准价（不含税）</w:t>
      </w:r>
    </w:p>
    <w:p>
      <w:pPr>
        <w:pStyle w:val="3"/>
        <w:widowControl w:val="0"/>
        <w:numPr>
          <w:ilvl w:val="0"/>
          <w:numId w:val="3"/>
        </w:numPr>
        <w:snapToGrid w:val="0"/>
        <w:spacing w:before="0" w:beforeAutospacing="0" w:after="0" w:afterAutospacing="0" w:line="360" w:lineRule="auto"/>
        <w:ind w:left="0" w:leftChars="0" w:firstLine="420" w:firstLineChars="200"/>
        <w:jc w:val="both"/>
        <w:rPr>
          <w:rFonts w:hint="eastAsia" w:ascii="仿宋_GB2312" w:hAnsi="仿宋_GB2312" w:eastAsia="仿宋_GB2312" w:cs="仿宋_GB2312"/>
          <w:color w:val="000000"/>
          <w:kern w:val="2"/>
          <w:sz w:val="21"/>
          <w:szCs w:val="21"/>
          <w:highlight w:val="none"/>
        </w:rPr>
      </w:pPr>
      <w:r>
        <w:rPr>
          <w:rFonts w:hint="eastAsia" w:ascii="仿宋_GB2312" w:hAnsi="仿宋_GB2312" w:eastAsia="仿宋_GB2312" w:cs="仿宋_GB2312"/>
          <w:color w:val="000000"/>
          <w:kern w:val="2"/>
          <w:sz w:val="21"/>
          <w:szCs w:val="21"/>
          <w:highlight w:val="none"/>
        </w:rPr>
        <w:t>以上报价有效期至2026年12月31日</w:t>
      </w:r>
    </w:p>
    <w:p>
      <w:pPr>
        <w:keepNext w:val="0"/>
        <w:keepLines w:val="0"/>
        <w:widowControl/>
        <w:numPr>
          <w:ilvl w:val="0"/>
          <w:numId w:val="0"/>
        </w:numPr>
        <w:suppressLineNumbers w:val="0"/>
        <w:tabs>
          <w:tab w:val="left" w:pos="0"/>
        </w:tabs>
        <w:spacing w:before="0" w:beforeAutospacing="0" w:after="0" w:afterAutospacing="0" w:line="360" w:lineRule="auto"/>
        <w:ind w:left="480" w:leftChars="0" w:right="0" w:rightChars="0"/>
        <w:jc w:val="both"/>
        <w:rPr>
          <w:rFonts w:hint="default" w:ascii="仿宋_GB2312" w:hAnsi="宋体" w:eastAsia="仿宋_GB2312" w:cs="仿宋_GB2312"/>
          <w:kern w:val="0"/>
          <w:sz w:val="28"/>
          <w:szCs w:val="28"/>
          <w:highlight w:val="none"/>
          <w:lang w:eastAsia="zh-CN"/>
        </w:rPr>
      </w:pPr>
    </w:p>
    <w:p>
      <w:pPr>
        <w:keepNext w:val="0"/>
        <w:keepLines w:val="0"/>
        <w:widowControl/>
        <w:numPr>
          <w:ilvl w:val="0"/>
          <w:numId w:val="0"/>
        </w:numPr>
        <w:suppressLineNumbers w:val="0"/>
        <w:tabs>
          <w:tab w:val="left" w:pos="0"/>
        </w:tabs>
        <w:spacing w:before="0" w:beforeAutospacing="0" w:after="0" w:afterAutospacing="0" w:line="360" w:lineRule="auto"/>
        <w:ind w:right="0" w:rightChars="0"/>
        <w:jc w:val="both"/>
        <w:rPr>
          <w:rFonts w:hint="default" w:ascii="仿宋_GB2312" w:hAnsi="宋体" w:eastAsia="仿宋_GB2312" w:cs="仿宋_GB2312"/>
          <w:kern w:val="0"/>
          <w:sz w:val="28"/>
          <w:szCs w:val="28"/>
          <w:highlight w:val="none"/>
          <w:lang w:eastAsia="zh-CN"/>
        </w:rPr>
      </w:pPr>
      <w:r>
        <w:rPr>
          <w:rFonts w:hint="default" w:ascii="仿宋_GB2312" w:hAnsi="宋体" w:eastAsia="仿宋_GB2312" w:cs="仿宋_GB2312"/>
          <w:kern w:val="0"/>
          <w:sz w:val="28"/>
          <w:szCs w:val="28"/>
          <w:highlight w:val="none"/>
          <w:lang w:eastAsia="zh-CN"/>
        </w:rPr>
        <w:t>招标服务费收费标准</w:t>
      </w:r>
      <w:r>
        <w:rPr>
          <w:rFonts w:hint="eastAsia" w:ascii="仿宋_GB2312" w:hAnsi="宋体" w:eastAsia="仿宋_GB2312" w:cs="仿宋_GB2312"/>
          <w:kern w:val="0"/>
          <w:sz w:val="28"/>
          <w:szCs w:val="28"/>
          <w:highlight w:val="none"/>
          <w:lang w:eastAsia="zh-CN"/>
        </w:rPr>
        <w:t>及公式说明</w:t>
      </w:r>
    </w:p>
    <w:p>
      <w:pPr>
        <w:widowControl/>
        <w:tabs>
          <w:tab w:val="left" w:pos="1533"/>
        </w:tabs>
        <w:snapToGrid w:val="0"/>
        <w:spacing w:line="400" w:lineRule="exact"/>
        <w:ind w:firstLine="540" w:firstLineChars="300"/>
        <w:rPr>
          <w:rFonts w:hint="eastAsia" w:ascii="仿宋" w:hAnsi="仿宋" w:eastAsia="仿宋" w:cs="仿宋"/>
          <w:sz w:val="18"/>
          <w:szCs w:val="18"/>
        </w:rPr>
      </w:pPr>
      <w:r>
        <w:rPr>
          <w:rFonts w:hint="eastAsia" w:ascii="仿宋" w:hAnsi="仿宋" w:eastAsia="仿宋" w:cs="仿宋"/>
          <w:sz w:val="18"/>
          <w:szCs w:val="18"/>
        </w:rPr>
        <w:t>1.计算公式</w:t>
      </w:r>
    </w:p>
    <w:p>
      <w:pPr>
        <w:widowControl/>
        <w:tabs>
          <w:tab w:val="left" w:pos="1533"/>
        </w:tabs>
        <w:snapToGrid w:val="0"/>
        <w:spacing w:line="400" w:lineRule="exact"/>
        <w:ind w:firstLine="542" w:firstLineChars="300"/>
        <w:rPr>
          <w:rFonts w:hint="default" w:ascii="仿宋" w:hAnsi="仿宋" w:eastAsia="仿宋" w:cs="仿宋"/>
          <w:b/>
          <w:bCs/>
          <w:sz w:val="18"/>
          <w:szCs w:val="18"/>
          <w:highlight w:val="none"/>
          <w:lang w:val="en-US" w:eastAsia="zh-CN"/>
        </w:rPr>
      </w:pPr>
      <w:r>
        <w:rPr>
          <w:rFonts w:hint="eastAsia" w:ascii="仿宋" w:hAnsi="仿宋" w:eastAsia="仿宋" w:cs="仿宋"/>
          <w:b/>
          <w:bCs/>
          <w:sz w:val="18"/>
          <w:szCs w:val="18"/>
          <w:highlight w:val="none"/>
        </w:rPr>
        <w:t>单项目招标服务费=</w:t>
      </w:r>
      <w:r>
        <w:rPr>
          <w:rFonts w:hint="eastAsia" w:ascii="仿宋" w:hAnsi="仿宋" w:eastAsia="仿宋" w:cs="仿宋"/>
          <w:b/>
          <w:bCs/>
          <w:sz w:val="18"/>
          <w:szCs w:val="18"/>
          <w:highlight w:val="none"/>
          <w:lang w:eastAsia="zh-CN"/>
        </w:rPr>
        <w:t>专家出勤费用</w:t>
      </w:r>
      <w:r>
        <w:rPr>
          <w:rFonts w:hint="eastAsia" w:ascii="仿宋" w:hAnsi="仿宋" w:eastAsia="仿宋" w:cs="仿宋"/>
          <w:b/>
          <w:bCs/>
          <w:sz w:val="18"/>
          <w:szCs w:val="18"/>
          <w:highlight w:val="none"/>
          <w:lang w:val="en-US" w:eastAsia="zh-CN"/>
        </w:rPr>
        <w:t>+项目服务费用</w:t>
      </w:r>
    </w:p>
    <w:p>
      <w:pPr>
        <w:widowControl/>
        <w:tabs>
          <w:tab w:val="left" w:pos="1533"/>
        </w:tabs>
        <w:snapToGrid w:val="0"/>
        <w:spacing w:line="400" w:lineRule="exact"/>
        <w:ind w:firstLine="542" w:firstLineChars="300"/>
        <w:rPr>
          <w:rFonts w:hint="eastAsia" w:ascii="仿宋" w:hAnsi="仿宋" w:eastAsia="仿宋" w:cs="仿宋"/>
          <w:b/>
          <w:bCs/>
          <w:sz w:val="18"/>
          <w:szCs w:val="18"/>
          <w:highlight w:val="none"/>
          <w:lang w:val="en-US" w:eastAsia="zh-CN"/>
        </w:rPr>
      </w:pPr>
      <w:r>
        <w:rPr>
          <w:rFonts w:hint="eastAsia" w:ascii="仿宋" w:hAnsi="仿宋" w:eastAsia="仿宋" w:cs="仿宋"/>
          <w:b/>
          <w:bCs/>
          <w:sz w:val="18"/>
          <w:szCs w:val="18"/>
          <w:highlight w:val="none"/>
          <w:lang w:eastAsia="zh-CN"/>
        </w:rPr>
        <w:t>其中：专家出勤费用</w:t>
      </w:r>
      <w:r>
        <w:rPr>
          <w:rFonts w:hint="eastAsia" w:ascii="仿宋" w:hAnsi="仿宋" w:eastAsia="仿宋" w:cs="仿宋"/>
          <w:b/>
          <w:bCs/>
          <w:sz w:val="18"/>
          <w:szCs w:val="18"/>
          <w:highlight w:val="none"/>
          <w:lang w:val="en-US" w:eastAsia="zh-CN"/>
        </w:rPr>
        <w:t>=</w:t>
      </w:r>
      <w:r>
        <w:rPr>
          <w:rFonts w:hint="eastAsia" w:ascii="仿宋" w:hAnsi="仿宋" w:eastAsia="仿宋" w:cs="仿宋"/>
          <w:b/>
          <w:bCs/>
          <w:sz w:val="18"/>
          <w:szCs w:val="18"/>
          <w:highlight w:val="none"/>
        </w:rPr>
        <w:t>1000×专家出勤人天数</w:t>
      </w:r>
    </w:p>
    <w:p>
      <w:pPr>
        <w:widowControl/>
        <w:tabs>
          <w:tab w:val="left" w:pos="1533"/>
        </w:tabs>
        <w:snapToGrid w:val="0"/>
        <w:spacing w:line="400" w:lineRule="exact"/>
        <w:ind w:firstLine="1084" w:firstLineChars="600"/>
        <w:rPr>
          <w:rFonts w:hint="eastAsia" w:ascii="仿宋" w:hAnsi="仿宋" w:eastAsia="仿宋" w:cs="仿宋"/>
          <w:b/>
          <w:bCs/>
          <w:sz w:val="18"/>
          <w:szCs w:val="18"/>
          <w:highlight w:val="none"/>
        </w:rPr>
      </w:pPr>
      <w:r>
        <w:rPr>
          <w:rFonts w:hint="eastAsia" w:ascii="仿宋" w:hAnsi="仿宋" w:eastAsia="仿宋" w:cs="仿宋"/>
          <w:b/>
          <w:bCs/>
          <w:sz w:val="18"/>
          <w:szCs w:val="18"/>
          <w:highlight w:val="none"/>
          <w:lang w:val="en-US" w:eastAsia="zh-CN"/>
        </w:rPr>
        <w:t>项目服务费用=</w:t>
      </w:r>
      <w:r>
        <w:rPr>
          <w:rFonts w:hint="eastAsia" w:ascii="仿宋" w:hAnsi="仿宋" w:eastAsia="仿宋" w:cs="仿宋"/>
          <w:b/>
          <w:bCs/>
          <w:sz w:val="18"/>
          <w:szCs w:val="18"/>
          <w:highlight w:val="none"/>
        </w:rPr>
        <w:t>结算基准价×（1+金额系数+投标人系数+节约率系数）</w:t>
      </w:r>
    </w:p>
    <w:p>
      <w:pPr>
        <w:widowControl/>
        <w:tabs>
          <w:tab w:val="left" w:pos="1533"/>
        </w:tabs>
        <w:snapToGrid w:val="0"/>
        <w:spacing w:line="400" w:lineRule="exact"/>
        <w:ind w:firstLine="360" w:firstLineChars="200"/>
        <w:rPr>
          <w:rFonts w:hint="eastAsia" w:ascii="仿宋" w:hAnsi="仿宋" w:eastAsia="仿宋" w:cs="仿宋"/>
          <w:sz w:val="18"/>
          <w:szCs w:val="18"/>
        </w:rPr>
      </w:pP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2.公式说明</w:t>
      </w:r>
    </w:p>
    <w:p>
      <w:pPr>
        <w:widowControl/>
        <w:tabs>
          <w:tab w:val="left" w:pos="1533"/>
        </w:tabs>
        <w:snapToGrid w:val="0"/>
        <w:spacing w:line="400" w:lineRule="exact"/>
        <w:ind w:firstLine="410" w:firstLineChars="228"/>
        <w:rPr>
          <w:rFonts w:hint="eastAsia" w:ascii="仿宋" w:hAnsi="仿宋" w:eastAsia="仿宋" w:cs="仿宋"/>
          <w:sz w:val="18"/>
          <w:szCs w:val="18"/>
        </w:rPr>
      </w:pPr>
      <w:r>
        <w:rPr>
          <w:rFonts w:hint="eastAsia" w:ascii="仿宋" w:hAnsi="仿宋" w:eastAsia="仿宋" w:cs="仿宋"/>
          <w:sz w:val="18"/>
          <w:szCs w:val="18"/>
        </w:rPr>
        <w:t>（1）专家出勤人天数是指评标委员会专家实际出勤人天数（不含复评费用，复评产生的专家费用由招标代理机构自行承担）。招标人代表不支付专家费。</w:t>
      </w:r>
    </w:p>
    <w:p>
      <w:pPr>
        <w:widowControl/>
        <w:tabs>
          <w:tab w:val="left" w:pos="1533"/>
        </w:tabs>
        <w:snapToGrid w:val="0"/>
        <w:spacing w:line="400" w:lineRule="exact"/>
        <w:ind w:firstLine="410" w:firstLineChars="228"/>
        <w:rPr>
          <w:rFonts w:hint="eastAsia" w:ascii="仿宋" w:hAnsi="仿宋" w:eastAsia="仿宋" w:cs="仿宋"/>
          <w:sz w:val="18"/>
          <w:szCs w:val="18"/>
        </w:rPr>
      </w:pPr>
      <w:r>
        <w:rPr>
          <w:rFonts w:hint="eastAsia" w:ascii="仿宋" w:hAnsi="仿宋" w:eastAsia="仿宋" w:cs="仿宋"/>
          <w:sz w:val="18"/>
          <w:szCs w:val="18"/>
        </w:rPr>
        <w:t>（2）金额系数取值如下：</w:t>
      </w:r>
    </w:p>
    <w:tbl>
      <w:tblPr>
        <w:tblStyle w:val="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项目年预估金额区间</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金额系数取值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年预估金额≤5000万元</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5000万元＜年预估金额≤7500万元</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4" w:type="dxa"/>
            <w:noWrap w:val="0"/>
            <w:vAlign w:val="top"/>
          </w:tcPr>
          <w:p>
            <w:pPr>
              <w:widowControl/>
              <w:tabs>
                <w:tab w:val="left" w:pos="1533"/>
              </w:tabs>
              <w:snapToGrid w:val="0"/>
              <w:spacing w:line="400" w:lineRule="exact"/>
              <w:jc w:val="center"/>
              <w:rPr>
                <w:rFonts w:hint="eastAsia" w:ascii="仿宋" w:hAnsi="仿宋" w:eastAsia="仿宋" w:cs="仿宋"/>
                <w:sz w:val="18"/>
                <w:szCs w:val="18"/>
              </w:rPr>
            </w:pPr>
            <w:r>
              <w:rPr>
                <w:rFonts w:hint="eastAsia" w:ascii="仿宋" w:hAnsi="仿宋" w:eastAsia="仿宋" w:cs="仿宋"/>
                <w:sz w:val="18"/>
                <w:szCs w:val="18"/>
              </w:rPr>
              <w:t>7500万元＜年预估金额≤10000万元</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noWrap w:val="0"/>
            <w:vAlign w:val="top"/>
          </w:tcPr>
          <w:p>
            <w:pPr>
              <w:widowControl/>
              <w:tabs>
                <w:tab w:val="left" w:pos="1533"/>
              </w:tabs>
              <w:snapToGrid w:val="0"/>
              <w:spacing w:line="400" w:lineRule="exact"/>
              <w:jc w:val="center"/>
              <w:rPr>
                <w:rFonts w:hint="eastAsia" w:ascii="仿宋" w:hAnsi="仿宋" w:eastAsia="仿宋" w:cs="仿宋"/>
                <w:sz w:val="18"/>
                <w:szCs w:val="18"/>
              </w:rPr>
            </w:pPr>
            <w:r>
              <w:rPr>
                <w:rFonts w:hint="eastAsia" w:ascii="仿宋" w:hAnsi="仿宋" w:eastAsia="仿宋" w:cs="仿宋"/>
                <w:sz w:val="18"/>
                <w:szCs w:val="18"/>
              </w:rPr>
              <w:t>10000万元＜年预估金额≤12500万元</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noWrap w:val="0"/>
            <w:vAlign w:val="top"/>
          </w:tcPr>
          <w:p>
            <w:pPr>
              <w:widowControl/>
              <w:tabs>
                <w:tab w:val="left" w:pos="1533"/>
              </w:tabs>
              <w:snapToGrid w:val="0"/>
              <w:spacing w:line="400" w:lineRule="exact"/>
              <w:jc w:val="center"/>
              <w:rPr>
                <w:rFonts w:hint="eastAsia" w:ascii="仿宋" w:hAnsi="仿宋" w:eastAsia="仿宋" w:cs="仿宋"/>
                <w:sz w:val="18"/>
                <w:szCs w:val="18"/>
              </w:rPr>
            </w:pPr>
            <w:r>
              <w:rPr>
                <w:rFonts w:hint="eastAsia" w:ascii="仿宋" w:hAnsi="仿宋" w:eastAsia="仿宋" w:cs="仿宋"/>
                <w:sz w:val="18"/>
                <w:szCs w:val="18"/>
              </w:rPr>
              <w:t>12500万元＜年预估金额</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1</w:t>
            </w:r>
          </w:p>
        </w:tc>
      </w:tr>
    </w:tbl>
    <w:p>
      <w:pPr>
        <w:widowControl/>
        <w:tabs>
          <w:tab w:val="left" w:pos="1533"/>
        </w:tabs>
        <w:snapToGrid w:val="0"/>
        <w:spacing w:line="400" w:lineRule="exact"/>
        <w:ind w:firstLine="360" w:firstLineChars="200"/>
        <w:rPr>
          <w:rFonts w:hint="eastAsia" w:ascii="仿宋" w:hAnsi="仿宋" w:eastAsia="仿宋" w:cs="仿宋"/>
          <w:sz w:val="18"/>
          <w:szCs w:val="18"/>
        </w:rPr>
      </w:pPr>
      <w:r>
        <w:rPr>
          <w:rFonts w:hint="eastAsia" w:ascii="仿宋" w:hAnsi="仿宋" w:eastAsia="仿宋" w:cs="仿宋"/>
          <w:sz w:val="18"/>
          <w:szCs w:val="18"/>
        </w:rPr>
        <w:t>（3）投标人系数取值如下：</w:t>
      </w:r>
    </w:p>
    <w:tbl>
      <w:tblPr>
        <w:tblStyle w:val="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合格投标人数量</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投标人系数取值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合格投标人数量≤5</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6≤合格投标人数量≤10</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11≤合格投标人数量≤20</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21≤合格投标人数量≤40</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41≤合格投标人数量</w:t>
            </w:r>
          </w:p>
        </w:tc>
        <w:tc>
          <w:tcPr>
            <w:tcW w:w="4264" w:type="dxa"/>
            <w:noWrap w:val="0"/>
            <w:vAlign w:val="top"/>
          </w:tcPr>
          <w:p>
            <w:pPr>
              <w:widowControl/>
              <w:tabs>
                <w:tab w:val="left" w:pos="1533"/>
              </w:tabs>
              <w:snapToGrid w:val="0"/>
              <w:spacing w:line="400" w:lineRule="exact"/>
              <w:jc w:val="center"/>
              <w:rPr>
                <w:rFonts w:ascii="仿宋" w:hAnsi="仿宋" w:eastAsia="仿宋" w:cs="仿宋"/>
                <w:sz w:val="18"/>
                <w:szCs w:val="18"/>
              </w:rPr>
            </w:pPr>
            <w:r>
              <w:rPr>
                <w:rFonts w:hint="eastAsia" w:ascii="仿宋" w:hAnsi="仿宋" w:eastAsia="仿宋" w:cs="仿宋"/>
                <w:sz w:val="18"/>
                <w:szCs w:val="18"/>
              </w:rPr>
              <w:t>1</w:t>
            </w:r>
          </w:p>
        </w:tc>
      </w:tr>
    </w:tbl>
    <w:p>
      <w:pPr>
        <w:widowControl/>
        <w:tabs>
          <w:tab w:val="left" w:pos="1533"/>
        </w:tabs>
        <w:snapToGrid w:val="0"/>
        <w:spacing w:line="400" w:lineRule="exact"/>
        <w:ind w:firstLine="360" w:firstLineChars="200"/>
        <w:rPr>
          <w:rFonts w:hint="eastAsia" w:ascii="仿宋" w:hAnsi="仿宋" w:eastAsia="仿宋"/>
          <w:sz w:val="18"/>
          <w:szCs w:val="18"/>
        </w:rPr>
      </w:pPr>
      <w:r>
        <w:rPr>
          <w:rFonts w:hint="eastAsia" w:ascii="仿宋" w:hAnsi="仿宋" w:eastAsia="仿宋" w:cs="仿宋"/>
          <w:sz w:val="18"/>
          <w:szCs w:val="18"/>
        </w:rPr>
        <w:t>（4）节约率系数=中标结果预估每年节约金额/项目每年预估金额。节约率系数为负的，按0计算。</w:t>
      </w:r>
    </w:p>
    <w:p>
      <w:pPr>
        <w:widowControl/>
        <w:tabs>
          <w:tab w:val="left" w:pos="1533"/>
        </w:tabs>
        <w:snapToGrid w:val="0"/>
        <w:spacing w:line="400" w:lineRule="exact"/>
        <w:ind w:firstLine="410" w:firstLineChars="228"/>
        <w:rPr>
          <w:rFonts w:ascii="仿宋" w:hAnsi="仿宋" w:eastAsia="仿宋" w:cs="仿宋"/>
          <w:sz w:val="18"/>
          <w:szCs w:val="18"/>
        </w:rPr>
      </w:pPr>
      <w:r>
        <w:rPr>
          <w:rFonts w:hint="eastAsia" w:ascii="仿宋" w:hAnsi="仿宋" w:eastAsia="仿宋" w:cs="仿宋"/>
          <w:sz w:val="18"/>
          <w:szCs w:val="18"/>
        </w:rPr>
        <w:t>（5）项目出现重大差错，结算费用为零。重大差错是指两阶段项目第一阶段影响投标人进入测试环节资格的差错；以及影响入围资格或影响多家入围供应商排序的差错。</w:t>
      </w:r>
    </w:p>
    <w:p>
      <w:pPr>
        <w:widowControl/>
        <w:tabs>
          <w:tab w:val="left" w:pos="1533"/>
        </w:tabs>
        <w:snapToGrid w:val="0"/>
        <w:spacing w:line="400" w:lineRule="exact"/>
        <w:ind w:firstLine="410" w:firstLineChars="228"/>
        <w:rPr>
          <w:rFonts w:hint="eastAsia" w:ascii="仿宋" w:hAnsi="仿宋" w:eastAsia="仿宋" w:cs="仿宋"/>
          <w:sz w:val="18"/>
          <w:szCs w:val="18"/>
        </w:rPr>
      </w:pPr>
      <w:r>
        <w:rPr>
          <w:rFonts w:hint="eastAsia" w:ascii="仿宋" w:hAnsi="仿宋" w:eastAsia="仿宋" w:cs="仿宋"/>
          <w:sz w:val="18"/>
          <w:szCs w:val="18"/>
        </w:rPr>
        <w:t>备注：</w:t>
      </w:r>
    </w:p>
    <w:p>
      <w:pPr>
        <w:widowControl/>
        <w:numPr>
          <w:ilvl w:val="0"/>
          <w:numId w:val="4"/>
        </w:numPr>
        <w:tabs>
          <w:tab w:val="left" w:pos="1533"/>
        </w:tabs>
        <w:snapToGrid w:val="0"/>
        <w:spacing w:line="400" w:lineRule="exact"/>
        <w:ind w:left="0" w:leftChars="0" w:firstLine="360" w:firstLineChars="200"/>
        <w:rPr>
          <w:rFonts w:hint="eastAsia" w:ascii="仿宋" w:hAnsi="仿宋" w:eastAsia="仿宋"/>
          <w:sz w:val="18"/>
          <w:szCs w:val="18"/>
        </w:rPr>
      </w:pPr>
      <w:r>
        <w:rPr>
          <w:rFonts w:hint="eastAsia" w:ascii="仿宋" w:hAnsi="仿宋" w:eastAsia="仿宋" w:cs="仿宋"/>
          <w:sz w:val="18"/>
          <w:szCs w:val="18"/>
        </w:rPr>
        <w:t>最高限价：结算基准价30,000元；单项目结算费用90,000元。</w:t>
      </w:r>
    </w:p>
    <w:p>
      <w:pPr>
        <w:widowControl/>
        <w:numPr>
          <w:ilvl w:val="0"/>
          <w:numId w:val="4"/>
        </w:numPr>
        <w:tabs>
          <w:tab w:val="left" w:pos="1533"/>
        </w:tabs>
        <w:snapToGrid w:val="0"/>
        <w:spacing w:line="400" w:lineRule="exact"/>
        <w:ind w:left="0" w:leftChars="0" w:firstLine="360" w:firstLineChars="200"/>
        <w:rPr>
          <w:rFonts w:ascii="仿宋" w:hAnsi="仿宋" w:eastAsia="仿宋" w:cs="仿宋"/>
          <w:sz w:val="18"/>
          <w:szCs w:val="18"/>
        </w:rPr>
      </w:pPr>
      <w:r>
        <w:rPr>
          <w:rFonts w:hint="eastAsia" w:ascii="仿宋" w:hAnsi="仿宋" w:eastAsia="仿宋" w:cs="仿宋"/>
          <w:sz w:val="18"/>
          <w:szCs w:val="18"/>
        </w:rPr>
        <w:t>对于无法给出数据的系数，该单项按采购要素基准计算（金额系数取5000万元，节约率系数取0）。</w:t>
      </w:r>
    </w:p>
    <w:p>
      <w:pPr>
        <w:widowControl/>
        <w:numPr>
          <w:ilvl w:val="0"/>
          <w:numId w:val="4"/>
        </w:numPr>
        <w:tabs>
          <w:tab w:val="left" w:pos="1533"/>
        </w:tabs>
        <w:snapToGrid w:val="0"/>
        <w:spacing w:line="400" w:lineRule="exact"/>
        <w:ind w:left="0" w:leftChars="0" w:firstLine="360" w:firstLineChars="200"/>
        <w:rPr>
          <w:rFonts w:hint="eastAsia" w:ascii="仿宋" w:hAnsi="仿宋" w:eastAsia="仿宋" w:cs="仿宋"/>
          <w:sz w:val="18"/>
          <w:szCs w:val="18"/>
        </w:rPr>
      </w:pPr>
      <w:r>
        <w:rPr>
          <w:rFonts w:hint="eastAsia" w:ascii="仿宋" w:hAnsi="仿宋" w:eastAsia="仿宋" w:cs="仿宋"/>
          <w:sz w:val="18"/>
          <w:szCs w:val="18"/>
        </w:rPr>
        <w:t>每个项目的结算系数，由招标代理机构提供，经中国工商银行委托人确认后据实结算。</w:t>
      </w:r>
    </w:p>
    <w:p>
      <w:pPr>
        <w:widowControl/>
        <w:numPr>
          <w:ilvl w:val="0"/>
          <w:numId w:val="4"/>
        </w:numPr>
        <w:tabs>
          <w:tab w:val="left" w:pos="1533"/>
        </w:tabs>
        <w:snapToGrid w:val="0"/>
        <w:spacing w:line="400" w:lineRule="exact"/>
        <w:ind w:left="0" w:leftChars="0" w:firstLine="360" w:firstLineChars="200"/>
        <w:rPr>
          <w:rFonts w:hint="eastAsia" w:ascii="仿宋" w:hAnsi="仿宋" w:eastAsia="仿宋"/>
          <w:sz w:val="18"/>
          <w:szCs w:val="18"/>
        </w:rPr>
      </w:pPr>
      <w:r>
        <w:rPr>
          <w:rFonts w:hint="eastAsia" w:ascii="仿宋" w:hAnsi="仿宋" w:eastAsia="仿宋" w:cs="仿宋"/>
          <w:sz w:val="18"/>
          <w:szCs w:val="18"/>
        </w:rPr>
        <w:t>对于多子项（标包）的项目，按总项结算，不按子项（标包）口径结算。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9B84A5"/>
    <w:multiLevelType w:val="singleLevel"/>
    <w:tmpl w:val="9C9B84A5"/>
    <w:lvl w:ilvl="0" w:tentative="0">
      <w:start w:val="1"/>
      <w:numFmt w:val="decimalEnclosedCircleChinese"/>
      <w:suff w:val="nothing"/>
      <w:lvlText w:val="%1　"/>
      <w:lvlJc w:val="left"/>
      <w:pPr>
        <w:ind w:left="0" w:firstLine="400"/>
      </w:pPr>
      <w:rPr>
        <w:rFonts w:hint="eastAsia"/>
      </w:rPr>
    </w:lvl>
  </w:abstractNum>
  <w:abstractNum w:abstractNumId="1">
    <w:nsid w:val="F5FB17EA"/>
    <w:multiLevelType w:val="singleLevel"/>
    <w:tmpl w:val="F5FB17EA"/>
    <w:lvl w:ilvl="0" w:tentative="0">
      <w:start w:val="1"/>
      <w:numFmt w:val="decimal"/>
      <w:suff w:val="nothing"/>
      <w:lvlText w:val="%1．"/>
      <w:lvlJc w:val="left"/>
      <w:pPr>
        <w:ind w:left="0" w:firstLine="400"/>
      </w:pPr>
      <w:rPr>
        <w:rFonts w:hint="default"/>
      </w:rPr>
    </w:lvl>
  </w:abstractNum>
  <w:abstractNum w:abstractNumId="2">
    <w:nsid w:val="FE61F3AC"/>
    <w:multiLevelType w:val="singleLevel"/>
    <w:tmpl w:val="FE61F3AC"/>
    <w:lvl w:ilvl="0" w:tentative="0">
      <w:start w:val="1"/>
      <w:numFmt w:val="decimal"/>
      <w:lvlText w:val="(%1)"/>
      <w:lvlJc w:val="left"/>
      <w:pPr>
        <w:ind w:left="425" w:hanging="425"/>
      </w:pPr>
      <w:rPr>
        <w:rFonts w:hint="default"/>
      </w:rPr>
    </w:lvl>
  </w:abstractNum>
  <w:abstractNum w:abstractNumId="3">
    <w:nsid w:val="2D1EF49D"/>
    <w:multiLevelType w:val="singleLevel"/>
    <w:tmpl w:val="2D1EF49D"/>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D66"/>
    <w:rsid w:val="00B00D66"/>
    <w:rsid w:val="04F64CBC"/>
    <w:rsid w:val="0B2F6C54"/>
    <w:rsid w:val="0FE70C38"/>
    <w:rsid w:val="12821AB0"/>
    <w:rsid w:val="140E4272"/>
    <w:rsid w:val="15D453E9"/>
    <w:rsid w:val="19C63037"/>
    <w:rsid w:val="19F6626D"/>
    <w:rsid w:val="1F1E4366"/>
    <w:rsid w:val="21B766E9"/>
    <w:rsid w:val="22D320AF"/>
    <w:rsid w:val="2C023B28"/>
    <w:rsid w:val="2DC57917"/>
    <w:rsid w:val="316210C6"/>
    <w:rsid w:val="329079D5"/>
    <w:rsid w:val="33D24992"/>
    <w:rsid w:val="3666654B"/>
    <w:rsid w:val="3EFB450B"/>
    <w:rsid w:val="45C42B1B"/>
    <w:rsid w:val="47F15B17"/>
    <w:rsid w:val="4A8132EE"/>
    <w:rsid w:val="4C820D41"/>
    <w:rsid w:val="57A80372"/>
    <w:rsid w:val="5BC0468D"/>
    <w:rsid w:val="5F206FF2"/>
    <w:rsid w:val="601453FB"/>
    <w:rsid w:val="61036363"/>
    <w:rsid w:val="654727D3"/>
    <w:rsid w:val="6A2C2AD5"/>
    <w:rsid w:val="6C33417C"/>
    <w:rsid w:val="6F2B205A"/>
    <w:rsid w:val="70BC220E"/>
    <w:rsid w:val="7131169D"/>
    <w:rsid w:val="76411D13"/>
    <w:rsid w:val="78554527"/>
    <w:rsid w:val="7BE17AEF"/>
    <w:rsid w:val="7ECE5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oc 3"/>
    <w:basedOn w:val="1"/>
    <w:next w:val="1"/>
    <w:semiHidden/>
    <w:qFormat/>
    <w:uiPriority w:val="0"/>
    <w:pPr>
      <w:ind w:left="476"/>
      <w:jc w:val="left"/>
    </w:pPr>
    <w:rPr>
      <w:iCs/>
    </w:rPr>
  </w:style>
  <w:style w:type="paragraph" w:styleId="3">
    <w:name w:val="Normal (Web)"/>
    <w:basedOn w:val="1"/>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styleId="4">
    <w:name w:val="Body Text First Indent"/>
    <w:basedOn w:val="1"/>
    <w:next w:val="1"/>
    <w:qFormat/>
    <w:uiPriority w:val="0"/>
    <w:pPr>
      <w:spacing w:before="0" w:beforeAutospacing="0" w:after="120" w:afterLines="0" w:afterAutospacing="0"/>
      <w:ind w:left="0" w:right="0" w:firstLine="420" w:firstLineChars="100"/>
      <w:jc w:val="left"/>
    </w:pPr>
    <w:rPr>
      <w:rFonts w:hint="default" w:ascii="Times New Roman" w:hAnsi="Times New Roman" w:eastAsia="宋体" w:cs="宋体"/>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Office_11.8.2.11073_F1E327BC-269C-435d-A152-05C5408002CA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2025-07-28T08:58:00Z</dcterms:created>
  <dc:creator>姜志强</dc:creator>
  <cp:lastModifiedBy>姜志强</cp:lastModifiedBy>
  <dcterms:modified xsi:type="dcterms:W3CDTF">2025-07-28T09:01:36Z</dcterms:modified>
  <dc:title>国信国际工程咨询集团股份有限公司</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2052-11.8.2.11073</vt:lpwstr>
  </property>
  <property fmtid="{D5CDD505-2E9C-101B-9397-08002B2CF9AE}" pid="3" name="ICV">
    <vt:lpwstr>24F26A8257184F7DA03F2AAB35DBC8F1</vt:lpwstr>
  </property>
</Properties>
</file>