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pPr>
      <w:r>
        <w:rPr>
          <w:rFonts w:ascii="宋体" w:hAnsi="宋体" w:eastAsia="宋体" w:cs="宋体"/>
          <w:kern w:val="0"/>
          <w:sz w:val="24"/>
          <w:szCs w:val="24"/>
          <w:lang w:val="en-US" w:eastAsia="zh-CN" w:bidi="ar"/>
        </w:rPr>
        <w:t xml:space="preserve"> </w:t>
      </w:r>
    </w:p>
    <w:p>
      <w:pPr>
        <w:pStyle w:val="4"/>
        <w:widowControl/>
        <w:numPr>
          <w:numId w:val="0"/>
        </w:numPr>
        <w:spacing w:line="360" w:lineRule="auto"/>
        <w:ind w:left="480" w:leftChars="0" w:right="0" w:rightChars="0"/>
        <w:jc w:val="center"/>
        <w:rPr>
          <w:rFonts w:hint="default" w:ascii="仿宋_GB2312" w:hAnsi="宋体" w:eastAsia="仿宋_GB2312" w:cs="宋体"/>
          <w:b w:val="0"/>
          <w:bCs w:val="0"/>
          <w:kern w:val="2"/>
          <w:sz w:val="28"/>
          <w:szCs w:val="28"/>
          <w:lang w:val="en-US" w:eastAsia="zh-CN"/>
        </w:rPr>
      </w:pPr>
      <w:bookmarkStart w:id="0" w:name="_GoBack"/>
      <w:r>
        <w:rPr>
          <w:rFonts w:hint="eastAsia" w:ascii="仿宋_GB2312" w:hAnsi="宋体" w:eastAsia="仿宋_GB2312" w:cs="宋体"/>
          <w:b w:val="0"/>
          <w:bCs w:val="0"/>
          <w:kern w:val="2"/>
          <w:sz w:val="28"/>
          <w:szCs w:val="28"/>
          <w:lang w:val="en-US" w:eastAsia="zh-CN"/>
        </w:rPr>
        <w:t>中</w:t>
      </w:r>
      <w:r>
        <w:rPr>
          <w:rFonts w:hint="eastAsia" w:ascii="仿宋_GB2312" w:hAnsi="宋体" w:eastAsia="仿宋_GB2312" w:cs="宋体"/>
          <w:b w:val="0"/>
          <w:bCs w:val="0"/>
          <w:kern w:val="2"/>
          <w:sz w:val="28"/>
          <w:szCs w:val="28"/>
          <w:lang w:val="en-US" w:eastAsia="zh-CN"/>
        </w:rPr>
        <w:t>国工商银行软件开发中心认同上海市分行员工福利定点供应项目观影券子项目价</w:t>
      </w:r>
      <w:r>
        <w:rPr>
          <w:rFonts w:hint="eastAsia" w:ascii="仿宋_GB2312" w:hAnsi="宋体" w:eastAsia="仿宋_GB2312" w:cs="宋体"/>
          <w:b w:val="0"/>
          <w:bCs w:val="0"/>
          <w:kern w:val="2"/>
          <w:sz w:val="28"/>
          <w:szCs w:val="28"/>
          <w:lang w:val="en-US" w:eastAsia="zh-CN"/>
        </w:rPr>
        <w:t>格表</w:t>
      </w:r>
    </w:p>
    <w:bookmarkEnd w:id="0"/>
    <w:tbl>
      <w:tblPr>
        <w:tblStyle w:val="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autofit"/>
        <w:tblCellMar>
          <w:top w:w="0" w:type="dxa"/>
          <w:left w:w="108" w:type="dxa"/>
          <w:bottom w:w="0" w:type="dxa"/>
          <w:right w:w="108" w:type="dxa"/>
        </w:tblCellMar>
      </w:tblPr>
      <w:tblGrid>
        <w:gridCol w:w="1257"/>
        <w:gridCol w:w="4564"/>
        <w:gridCol w:w="1556"/>
        <w:gridCol w:w="1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90" w:hRule="atLeast"/>
          <w:jc w:val="center"/>
        </w:trPr>
        <w:tc>
          <w:tcPr>
            <w:tcW w:w="738" w:type="pct"/>
            <w:tcBorders>
              <w:top w:val="single" w:color="auto" w:sz="4" w:space="0"/>
              <w:left w:val="single" w:color="auto" w:sz="4" w:space="0"/>
              <w:bottom w:val="single" w:color="auto" w:sz="4" w:space="0"/>
              <w:right w:val="single" w:color="auto" w:sz="4" w:space="0"/>
            </w:tcBorders>
            <w:shd w:val="clear"/>
            <w:noWrap/>
            <w:vAlign w:val="center"/>
          </w:tcPr>
          <w:p>
            <w:pPr>
              <w:pStyle w:val="4"/>
              <w:widowControl/>
              <w:spacing w:beforeLines="0" w:beforeAutospacing="0" w:afterLines="0" w:afterAutospacing="0" w:line="360" w:lineRule="exact"/>
              <w:jc w:val="center"/>
              <w:rPr>
                <w:rFonts w:hint="eastAsia" w:ascii="仿宋_GB2312" w:hAnsi="Times New Roman" w:eastAsia="仿宋_GB2312" w:cs="仿宋_GB2312"/>
                <w:kern w:val="0"/>
                <w:sz w:val="24"/>
                <w:szCs w:val="24"/>
                <w:bdr w:val="none" w:color="auto" w:sz="0" w:space="0"/>
              </w:rPr>
            </w:pPr>
            <w:r>
              <w:rPr>
                <w:rFonts w:hint="eastAsia" w:ascii="仿宋_GB2312" w:hAnsi="Times New Roman" w:eastAsia="仿宋_GB2312" w:cs="仿宋_GB2312"/>
                <w:kern w:val="0"/>
                <w:sz w:val="24"/>
                <w:szCs w:val="24"/>
                <w:bdr w:val="none" w:color="auto" w:sz="0" w:space="0"/>
              </w:rPr>
              <w:t>序号</w:t>
            </w:r>
          </w:p>
        </w:tc>
        <w:tc>
          <w:tcPr>
            <w:tcW w:w="2678" w:type="pct"/>
            <w:tcBorders>
              <w:top w:val="single" w:color="auto" w:sz="4" w:space="0"/>
              <w:left w:val="nil"/>
              <w:bottom w:val="single" w:color="auto" w:sz="4" w:space="0"/>
              <w:right w:val="single" w:color="auto" w:sz="4" w:space="0"/>
            </w:tcBorders>
            <w:shd w:val="clear"/>
            <w:noWrap/>
            <w:vAlign w:val="center"/>
          </w:tcPr>
          <w:p>
            <w:pPr>
              <w:pStyle w:val="4"/>
              <w:widowControl/>
              <w:spacing w:beforeLines="0" w:beforeAutospacing="0" w:afterLines="0" w:afterAutospacing="0" w:line="360" w:lineRule="exact"/>
              <w:jc w:val="center"/>
              <w:rPr>
                <w:rFonts w:hint="eastAsia" w:ascii="仿宋_GB2312" w:hAnsi="Times New Roman" w:eastAsia="仿宋_GB2312" w:cs="仿宋_GB2312"/>
                <w:kern w:val="0"/>
                <w:sz w:val="24"/>
                <w:szCs w:val="24"/>
                <w:bdr w:val="none" w:color="auto" w:sz="0" w:space="0"/>
              </w:rPr>
            </w:pPr>
            <w:r>
              <w:rPr>
                <w:rFonts w:hint="eastAsia" w:ascii="仿宋_GB2312" w:hAnsi="Times New Roman" w:eastAsia="仿宋_GB2312" w:cs="仿宋_GB2312"/>
                <w:kern w:val="0"/>
                <w:sz w:val="24"/>
                <w:szCs w:val="24"/>
                <w:bdr w:val="none" w:color="auto" w:sz="0" w:space="0"/>
              </w:rPr>
              <w:t>公司单位</w:t>
            </w:r>
          </w:p>
        </w:tc>
        <w:tc>
          <w:tcPr>
            <w:tcW w:w="913" w:type="pct"/>
            <w:tcBorders>
              <w:top w:val="single" w:color="auto" w:sz="4" w:space="0"/>
              <w:left w:val="nil"/>
              <w:bottom w:val="single" w:color="auto" w:sz="4" w:space="0"/>
              <w:right w:val="single" w:color="auto" w:sz="4" w:space="0"/>
            </w:tcBorders>
            <w:shd w:val="clear"/>
            <w:vAlign w:val="center"/>
          </w:tcPr>
          <w:p>
            <w:pPr>
              <w:pStyle w:val="4"/>
              <w:widowControl/>
              <w:spacing w:beforeLines="0" w:beforeAutospacing="0" w:afterLines="0" w:afterAutospacing="0" w:line="360" w:lineRule="exact"/>
              <w:jc w:val="center"/>
              <w:rPr>
                <w:rFonts w:hint="eastAsia" w:ascii="仿宋_GB2312" w:hAnsi="Times New Roman" w:eastAsia="仿宋_GB2312" w:cs="仿宋_GB2312"/>
                <w:kern w:val="0"/>
                <w:sz w:val="24"/>
                <w:szCs w:val="24"/>
                <w:bdr w:val="none" w:color="auto" w:sz="0" w:space="0"/>
              </w:rPr>
            </w:pPr>
            <w:r>
              <w:rPr>
                <w:rFonts w:hint="eastAsia" w:ascii="仿宋_GB2312" w:hAnsi="Times New Roman" w:eastAsia="仿宋_GB2312" w:cs="仿宋_GB2312"/>
                <w:kern w:val="0"/>
                <w:sz w:val="24"/>
                <w:szCs w:val="24"/>
                <w:bdr w:val="none" w:color="auto" w:sz="0" w:space="0"/>
              </w:rPr>
              <w:t>折扣率</w:t>
            </w:r>
          </w:p>
        </w:tc>
        <w:tc>
          <w:tcPr>
            <w:tcW w:w="670" w:type="pct"/>
            <w:tcBorders>
              <w:top w:val="single" w:color="auto" w:sz="4" w:space="0"/>
              <w:left w:val="nil"/>
              <w:bottom w:val="single" w:color="auto" w:sz="4" w:space="0"/>
              <w:right w:val="single" w:color="auto" w:sz="4" w:space="0"/>
            </w:tcBorders>
            <w:shd w:val="clear"/>
            <w:vAlign w:val="center"/>
          </w:tcPr>
          <w:p>
            <w:pPr>
              <w:pStyle w:val="4"/>
              <w:widowControl/>
              <w:spacing w:beforeLines="0" w:beforeAutospacing="0" w:afterLines="0" w:afterAutospacing="0" w:line="360" w:lineRule="exact"/>
              <w:jc w:val="center"/>
              <w:rPr>
                <w:rFonts w:hint="eastAsia" w:ascii="仿宋_GB2312" w:hAnsi="Times New Roman" w:eastAsia="仿宋_GB2312" w:cs="仿宋_GB2312"/>
                <w:kern w:val="0"/>
                <w:sz w:val="24"/>
                <w:szCs w:val="24"/>
                <w:bdr w:val="none" w:color="auto" w:sz="0" w:space="0"/>
              </w:rPr>
            </w:pPr>
            <w:r>
              <w:rPr>
                <w:rFonts w:hint="eastAsia" w:ascii="仿宋_GB2312" w:hAnsi="Times New Roman" w:eastAsia="仿宋_GB2312" w:cs="仿宋_GB2312"/>
                <w:kern w:val="0"/>
                <w:sz w:val="24"/>
                <w:szCs w:val="24"/>
                <w:bdr w:val="none" w:color="auto" w:sz="0" w:space="0"/>
              </w:rPr>
              <w:t>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91" w:hRule="atLeast"/>
          <w:jc w:val="center"/>
        </w:trPr>
        <w:tc>
          <w:tcPr>
            <w:tcW w:w="738" w:type="pct"/>
            <w:tcBorders>
              <w:top w:val="single" w:color="auto" w:sz="4" w:space="0"/>
              <w:left w:val="single" w:color="auto" w:sz="4" w:space="0"/>
              <w:bottom w:val="single" w:color="auto" w:sz="4" w:space="0"/>
              <w:right w:val="single" w:color="auto" w:sz="4" w:space="0"/>
            </w:tcBorders>
            <w:shd w:val="clear"/>
            <w:noWrap/>
            <w:vAlign w:val="center"/>
          </w:tcPr>
          <w:p>
            <w:pPr>
              <w:pStyle w:val="4"/>
              <w:widowControl/>
              <w:spacing w:beforeLines="0" w:beforeAutospacing="0" w:afterLines="0" w:afterAutospacing="0" w:line="360" w:lineRule="exact"/>
              <w:jc w:val="center"/>
              <w:rPr>
                <w:rFonts w:hint="eastAsia" w:ascii="仿宋_GB2312" w:hAnsi="Times New Roman" w:eastAsia="仿宋_GB2312" w:cs="仿宋_GB2312"/>
                <w:kern w:val="0"/>
                <w:sz w:val="24"/>
                <w:szCs w:val="24"/>
                <w:bdr w:val="none" w:color="auto" w:sz="0" w:space="0"/>
              </w:rPr>
            </w:pPr>
            <w:r>
              <w:rPr>
                <w:rFonts w:hint="eastAsia" w:ascii="仿宋_GB2312" w:hAnsi="Times New Roman" w:eastAsia="仿宋_GB2312" w:cs="仿宋_GB2312"/>
                <w:kern w:val="0"/>
                <w:sz w:val="24"/>
                <w:szCs w:val="24"/>
                <w:bdr w:val="none" w:color="auto" w:sz="0" w:space="0"/>
              </w:rPr>
              <w:t>1</w:t>
            </w:r>
          </w:p>
        </w:tc>
        <w:tc>
          <w:tcPr>
            <w:tcW w:w="2678" w:type="pct"/>
            <w:tcBorders>
              <w:top w:val="single" w:color="auto" w:sz="4" w:space="0"/>
              <w:left w:val="nil"/>
              <w:bottom w:val="single" w:color="auto" w:sz="4" w:space="0"/>
              <w:right w:val="single" w:color="auto" w:sz="4" w:space="0"/>
            </w:tcBorders>
            <w:shd w:val="clear"/>
            <w:noWrap/>
            <w:vAlign w:val="center"/>
          </w:tcPr>
          <w:p>
            <w:pPr>
              <w:pStyle w:val="4"/>
              <w:widowControl/>
              <w:spacing w:beforeLines="0" w:beforeAutospacing="0" w:afterLines="0" w:afterAutospacing="0" w:line="360" w:lineRule="exact"/>
              <w:jc w:val="center"/>
              <w:rPr>
                <w:rFonts w:hint="eastAsia" w:ascii="仿宋_GB2312" w:hAnsi="Times New Roman" w:eastAsia="仿宋_GB2312" w:cs="仿宋_GB2312"/>
                <w:kern w:val="0"/>
                <w:sz w:val="24"/>
                <w:szCs w:val="24"/>
                <w:bdr w:val="none" w:color="auto" w:sz="0" w:space="0"/>
              </w:rPr>
            </w:pPr>
            <w:r>
              <w:rPr>
                <w:rFonts w:hint="eastAsia" w:ascii="仿宋_GB2312" w:hAnsi="Times New Roman" w:eastAsia="仿宋_GB2312" w:cs="仿宋_GB2312"/>
                <w:kern w:val="0"/>
                <w:sz w:val="24"/>
                <w:szCs w:val="24"/>
                <w:bdr w:val="none" w:color="auto" w:sz="0" w:space="0"/>
              </w:rPr>
              <w:t>上海汉兆实业有限公司</w:t>
            </w:r>
          </w:p>
          <w:p>
            <w:pPr>
              <w:pStyle w:val="4"/>
              <w:widowControl/>
              <w:spacing w:beforeLines="0" w:beforeAutospacing="0" w:afterLines="0" w:afterAutospacing="0" w:line="360" w:lineRule="exact"/>
              <w:jc w:val="center"/>
              <w:rPr>
                <w:rFonts w:hint="eastAsia" w:ascii="仿宋_GB2312" w:hAnsi="Times New Roman" w:eastAsia="仿宋_GB2312" w:cs="仿宋_GB2312"/>
                <w:kern w:val="0"/>
                <w:sz w:val="24"/>
                <w:szCs w:val="24"/>
                <w:bdr w:val="none" w:color="auto" w:sz="0" w:space="0"/>
              </w:rPr>
            </w:pPr>
            <w:r>
              <w:rPr>
                <w:rFonts w:hint="eastAsia" w:ascii="仿宋_GB2312" w:hAnsi="Times New Roman" w:eastAsia="仿宋_GB2312" w:cs="仿宋_GB2312"/>
                <w:kern w:val="0"/>
                <w:sz w:val="24"/>
                <w:szCs w:val="24"/>
                <w:bdr w:val="none" w:color="auto" w:sz="0" w:space="0"/>
              </w:rPr>
              <w:t>（线上订票平台名称：票咚咚）</w:t>
            </w:r>
          </w:p>
        </w:tc>
        <w:tc>
          <w:tcPr>
            <w:tcW w:w="913" w:type="pct"/>
            <w:tcBorders>
              <w:top w:val="single" w:color="auto" w:sz="4" w:space="0"/>
              <w:left w:val="nil"/>
              <w:bottom w:val="single" w:color="auto" w:sz="4" w:space="0"/>
              <w:right w:val="single" w:color="auto" w:sz="4" w:space="0"/>
            </w:tcBorders>
            <w:shd w:val="clear"/>
            <w:vAlign w:val="center"/>
          </w:tcPr>
          <w:p>
            <w:pPr>
              <w:pStyle w:val="4"/>
              <w:widowControl/>
              <w:spacing w:beforeLines="0" w:beforeAutospacing="0" w:afterLines="0" w:afterAutospacing="0" w:line="360" w:lineRule="exact"/>
              <w:jc w:val="center"/>
              <w:rPr>
                <w:rFonts w:hint="eastAsia" w:ascii="仿宋_GB2312" w:hAnsi="Times New Roman" w:eastAsia="仿宋_GB2312" w:cs="仿宋_GB2312"/>
                <w:kern w:val="0"/>
                <w:sz w:val="24"/>
                <w:szCs w:val="24"/>
                <w:bdr w:val="none" w:color="auto" w:sz="0" w:space="0"/>
              </w:rPr>
            </w:pPr>
            <w:r>
              <w:rPr>
                <w:rFonts w:hint="eastAsia" w:ascii="仿宋_GB2312" w:hAnsi="Times New Roman" w:eastAsia="仿宋_GB2312" w:cs="仿宋_GB2312"/>
                <w:kern w:val="0"/>
                <w:sz w:val="24"/>
                <w:szCs w:val="24"/>
                <w:bdr w:val="none" w:color="auto" w:sz="0" w:space="0"/>
              </w:rPr>
              <w:t>69%</w:t>
            </w:r>
          </w:p>
        </w:tc>
        <w:tc>
          <w:tcPr>
            <w:tcW w:w="670" w:type="pct"/>
            <w:vMerge w:val="restart"/>
            <w:tcBorders>
              <w:top w:val="nil"/>
              <w:left w:val="nil"/>
              <w:bottom w:val="single" w:color="auto" w:sz="4" w:space="0"/>
              <w:right w:val="single" w:color="auto" w:sz="4" w:space="0"/>
            </w:tcBorders>
            <w:shd w:val="clear"/>
            <w:vAlign w:val="center"/>
          </w:tcPr>
          <w:p>
            <w:pPr>
              <w:pStyle w:val="4"/>
              <w:widowControl/>
              <w:spacing w:beforeLines="0" w:beforeAutospacing="0" w:afterLines="0" w:afterAutospacing="0" w:line="360" w:lineRule="exact"/>
              <w:jc w:val="center"/>
              <w:rPr>
                <w:rFonts w:hint="eastAsia" w:ascii="仿宋_GB2312" w:hAnsi="Times New Roman" w:eastAsia="仿宋_GB2312" w:cs="仿宋_GB2312"/>
                <w:kern w:val="0"/>
                <w:sz w:val="24"/>
                <w:szCs w:val="24"/>
                <w:bdr w:val="none" w:color="auto" w:sz="0" w:space="0"/>
              </w:rPr>
            </w:pPr>
            <w:r>
              <w:rPr>
                <w:rFonts w:hint="eastAsia" w:ascii="仿宋_GB2312" w:hAnsi="Times New Roman" w:eastAsia="仿宋_GB2312" w:cs="仿宋_GB2312"/>
                <w:kern w:val="0"/>
                <w:sz w:val="24"/>
                <w:szCs w:val="24"/>
                <w:bdr w:val="none" w:color="auto" w:sz="0" w:space="0"/>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91" w:hRule="atLeast"/>
          <w:jc w:val="center"/>
        </w:trPr>
        <w:tc>
          <w:tcPr>
            <w:tcW w:w="738" w:type="pct"/>
            <w:tcBorders>
              <w:top w:val="single" w:color="auto" w:sz="4" w:space="0"/>
              <w:left w:val="single" w:color="auto" w:sz="4" w:space="0"/>
              <w:bottom w:val="single" w:color="auto" w:sz="4" w:space="0"/>
              <w:right w:val="single" w:color="auto" w:sz="4" w:space="0"/>
            </w:tcBorders>
            <w:shd w:val="clear"/>
            <w:noWrap/>
            <w:vAlign w:val="center"/>
          </w:tcPr>
          <w:p>
            <w:pPr>
              <w:pStyle w:val="4"/>
              <w:widowControl/>
              <w:spacing w:beforeLines="0" w:beforeAutospacing="0" w:afterLines="0" w:afterAutospacing="0" w:line="360" w:lineRule="exact"/>
              <w:jc w:val="center"/>
              <w:rPr>
                <w:rFonts w:hint="eastAsia" w:ascii="仿宋_GB2312" w:hAnsi="Times New Roman" w:eastAsia="仿宋_GB2312" w:cs="仿宋_GB2312"/>
                <w:kern w:val="0"/>
                <w:sz w:val="24"/>
                <w:szCs w:val="24"/>
                <w:bdr w:val="none" w:color="auto" w:sz="0" w:space="0"/>
              </w:rPr>
            </w:pPr>
            <w:r>
              <w:rPr>
                <w:rFonts w:hint="eastAsia" w:ascii="仿宋_GB2312" w:hAnsi="Times New Roman" w:eastAsia="仿宋_GB2312" w:cs="仿宋_GB2312"/>
                <w:kern w:val="0"/>
                <w:sz w:val="24"/>
                <w:szCs w:val="24"/>
                <w:bdr w:val="none" w:color="auto" w:sz="0" w:space="0"/>
              </w:rPr>
              <w:t>2</w:t>
            </w:r>
          </w:p>
        </w:tc>
        <w:tc>
          <w:tcPr>
            <w:tcW w:w="2678" w:type="pct"/>
            <w:tcBorders>
              <w:top w:val="single" w:color="auto" w:sz="4" w:space="0"/>
              <w:left w:val="nil"/>
              <w:bottom w:val="single" w:color="auto" w:sz="4" w:space="0"/>
              <w:right w:val="single" w:color="auto" w:sz="4" w:space="0"/>
            </w:tcBorders>
            <w:shd w:val="clear"/>
            <w:noWrap/>
            <w:vAlign w:val="center"/>
          </w:tcPr>
          <w:p>
            <w:pPr>
              <w:pStyle w:val="4"/>
              <w:widowControl/>
              <w:spacing w:beforeLines="0" w:beforeAutospacing="0" w:afterLines="0" w:afterAutospacing="0" w:line="360" w:lineRule="exact"/>
              <w:jc w:val="center"/>
              <w:rPr>
                <w:rFonts w:hint="eastAsia" w:ascii="仿宋_GB2312" w:hAnsi="Times New Roman" w:eastAsia="仿宋_GB2312" w:cs="Times New Roman"/>
                <w:kern w:val="0"/>
                <w:sz w:val="24"/>
                <w:szCs w:val="24"/>
                <w:bdr w:val="none" w:color="auto" w:sz="0" w:space="0"/>
              </w:rPr>
            </w:pPr>
            <w:r>
              <w:rPr>
                <w:rFonts w:hint="eastAsia" w:ascii="仿宋_GB2312" w:hAnsi="Times New Roman" w:eastAsia="仿宋_GB2312" w:cs="仿宋_GB2312"/>
                <w:kern w:val="0"/>
                <w:sz w:val="24"/>
                <w:szCs w:val="24"/>
                <w:bdr w:val="none" w:color="auto" w:sz="0" w:space="0"/>
              </w:rPr>
              <w:t>北京捷通无限科技有限公司</w:t>
            </w:r>
          </w:p>
          <w:p>
            <w:pPr>
              <w:keepNext w:val="0"/>
              <w:keepLines w:val="0"/>
              <w:widowControl w:val="0"/>
              <w:suppressLineNumbers w:val="0"/>
              <w:spacing w:before="0" w:beforeLines="0" w:beforeAutospacing="0" w:after="0" w:afterLines="0" w:afterAutospacing="0" w:line="420" w:lineRule="exact"/>
              <w:ind w:left="0" w:right="0"/>
              <w:jc w:val="center"/>
              <w:rPr>
                <w:rFonts w:hint="eastAsia" w:ascii="仿宋_GB2312" w:hAnsi="Times New Roman" w:eastAsia="仿宋_GB2312" w:cs="Times New Roman"/>
                <w:kern w:val="0"/>
                <w:sz w:val="24"/>
                <w:szCs w:val="24"/>
                <w:bdr w:val="none" w:color="auto" w:sz="0" w:space="0"/>
              </w:rPr>
            </w:pPr>
            <w:r>
              <w:rPr>
                <w:rFonts w:hint="eastAsia" w:ascii="仿宋_GB2312" w:hAnsi="Times New Roman" w:eastAsia="仿宋_GB2312" w:cs="仿宋_GB2312"/>
                <w:kern w:val="0"/>
                <w:sz w:val="24"/>
                <w:szCs w:val="24"/>
                <w:bdr w:val="none" w:color="auto" w:sz="0" w:space="0"/>
                <w:lang w:val="en-US" w:eastAsia="zh-CN" w:bidi="ar"/>
              </w:rPr>
              <w:t>（线上订票平台名称：网票网）</w:t>
            </w:r>
          </w:p>
        </w:tc>
        <w:tc>
          <w:tcPr>
            <w:tcW w:w="913" w:type="pct"/>
            <w:tcBorders>
              <w:top w:val="single" w:color="auto" w:sz="4" w:space="0"/>
              <w:left w:val="nil"/>
              <w:bottom w:val="single" w:color="auto" w:sz="4" w:space="0"/>
              <w:right w:val="single" w:color="auto" w:sz="4" w:space="0"/>
            </w:tcBorders>
            <w:shd w:val="clear"/>
            <w:vAlign w:val="center"/>
          </w:tcPr>
          <w:p>
            <w:pPr>
              <w:pStyle w:val="4"/>
              <w:widowControl/>
              <w:spacing w:beforeLines="0" w:beforeAutospacing="0" w:afterLines="0" w:afterAutospacing="0" w:line="360" w:lineRule="exact"/>
              <w:jc w:val="center"/>
              <w:rPr>
                <w:rFonts w:hint="eastAsia" w:ascii="仿宋_GB2312" w:hAnsi="Times New Roman" w:eastAsia="仿宋_GB2312" w:cs="仿宋_GB2312"/>
                <w:kern w:val="0"/>
                <w:sz w:val="24"/>
                <w:szCs w:val="24"/>
                <w:bdr w:val="none" w:color="auto" w:sz="0" w:space="0"/>
              </w:rPr>
            </w:pPr>
            <w:r>
              <w:rPr>
                <w:rFonts w:hint="eastAsia" w:ascii="仿宋_GB2312" w:hAnsi="Times New Roman" w:eastAsia="仿宋_GB2312" w:cs="仿宋_GB2312"/>
                <w:kern w:val="0"/>
                <w:sz w:val="24"/>
                <w:szCs w:val="24"/>
                <w:bdr w:val="none" w:color="auto" w:sz="0" w:space="0"/>
              </w:rPr>
              <w:t>86.95%</w:t>
            </w:r>
          </w:p>
        </w:tc>
        <w:tc>
          <w:tcPr>
            <w:tcW w:w="670" w:type="pct"/>
            <w:vMerge w:val="continue"/>
            <w:tcBorders>
              <w:top w:val="nil"/>
              <w:left w:val="nil"/>
              <w:bottom w:val="single" w:color="auto" w:sz="4" w:space="0"/>
              <w:right w:val="single" w:color="auto" w:sz="4" w:space="0"/>
            </w:tcBorders>
            <w:shd w:val="clear"/>
            <w:vAlign w:val="center"/>
          </w:tcPr>
          <w:p>
            <w:pPr>
              <w:rPr>
                <w:rFonts w:hint="default"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91" w:hRule="atLeast"/>
          <w:jc w:val="center"/>
        </w:trPr>
        <w:tc>
          <w:tcPr>
            <w:tcW w:w="738" w:type="pct"/>
            <w:tcBorders>
              <w:top w:val="single" w:color="auto" w:sz="4" w:space="0"/>
              <w:left w:val="single" w:color="auto" w:sz="4" w:space="0"/>
              <w:bottom w:val="single" w:color="auto" w:sz="4" w:space="0"/>
              <w:right w:val="single" w:color="auto" w:sz="4" w:space="0"/>
            </w:tcBorders>
            <w:shd w:val="clear"/>
            <w:noWrap/>
            <w:vAlign w:val="center"/>
          </w:tcPr>
          <w:p>
            <w:pPr>
              <w:pStyle w:val="4"/>
              <w:widowControl/>
              <w:spacing w:beforeLines="0" w:beforeAutospacing="0" w:afterLines="0" w:afterAutospacing="0" w:line="360" w:lineRule="exact"/>
              <w:jc w:val="center"/>
              <w:rPr>
                <w:rFonts w:hint="eastAsia" w:ascii="仿宋_GB2312" w:hAnsi="Times New Roman" w:eastAsia="仿宋_GB2312" w:cs="仿宋_GB2312"/>
                <w:kern w:val="0"/>
                <w:sz w:val="24"/>
                <w:szCs w:val="24"/>
                <w:bdr w:val="none" w:color="auto" w:sz="0" w:space="0"/>
              </w:rPr>
            </w:pPr>
            <w:r>
              <w:rPr>
                <w:rFonts w:hint="eastAsia" w:ascii="仿宋_GB2312" w:hAnsi="Times New Roman" w:eastAsia="仿宋_GB2312" w:cs="仿宋_GB2312"/>
                <w:kern w:val="0"/>
                <w:sz w:val="24"/>
                <w:szCs w:val="24"/>
                <w:bdr w:val="none" w:color="auto" w:sz="0" w:space="0"/>
              </w:rPr>
              <w:t>3</w:t>
            </w:r>
          </w:p>
        </w:tc>
        <w:tc>
          <w:tcPr>
            <w:tcW w:w="2678" w:type="pct"/>
            <w:tcBorders>
              <w:top w:val="single" w:color="auto" w:sz="4" w:space="0"/>
              <w:left w:val="nil"/>
              <w:bottom w:val="single" w:color="auto" w:sz="4" w:space="0"/>
              <w:right w:val="single" w:color="auto" w:sz="4" w:space="0"/>
            </w:tcBorders>
            <w:shd w:val="clear"/>
            <w:noWrap/>
            <w:vAlign w:val="center"/>
          </w:tcPr>
          <w:p>
            <w:pPr>
              <w:keepNext w:val="0"/>
              <w:keepLines w:val="0"/>
              <w:widowControl w:val="0"/>
              <w:suppressLineNumbers w:val="0"/>
              <w:spacing w:before="0" w:beforeLines="0" w:beforeAutospacing="0" w:after="0" w:afterLines="0" w:afterAutospacing="0" w:line="420" w:lineRule="exact"/>
              <w:ind w:left="0" w:right="0"/>
              <w:jc w:val="center"/>
              <w:rPr>
                <w:rFonts w:hint="eastAsia" w:ascii="仿宋_GB2312" w:hAnsi="Times New Roman" w:eastAsia="仿宋_GB2312" w:cs="Times New Roman"/>
                <w:kern w:val="0"/>
                <w:sz w:val="24"/>
                <w:szCs w:val="24"/>
                <w:bdr w:val="none" w:color="auto" w:sz="0" w:space="0"/>
              </w:rPr>
            </w:pPr>
            <w:r>
              <w:rPr>
                <w:rFonts w:hint="eastAsia" w:ascii="仿宋_GB2312" w:hAnsi="Times New Roman" w:eastAsia="仿宋_GB2312" w:cs="仿宋_GB2312"/>
                <w:kern w:val="0"/>
                <w:sz w:val="24"/>
                <w:szCs w:val="24"/>
                <w:bdr w:val="none" w:color="auto" w:sz="0" w:space="0"/>
                <w:lang w:val="en-US" w:eastAsia="zh-CN" w:bidi="ar"/>
              </w:rPr>
              <w:t>深圳市华宇讯科技有限公司</w:t>
            </w:r>
          </w:p>
          <w:p>
            <w:pPr>
              <w:keepNext w:val="0"/>
              <w:keepLines w:val="0"/>
              <w:widowControl w:val="0"/>
              <w:suppressLineNumbers w:val="0"/>
              <w:spacing w:before="0" w:beforeLines="0" w:beforeAutospacing="0" w:after="0" w:afterLines="0" w:afterAutospacing="0" w:line="420" w:lineRule="exact"/>
              <w:ind w:left="0" w:right="0"/>
              <w:jc w:val="center"/>
              <w:rPr>
                <w:rFonts w:hint="eastAsia" w:ascii="仿宋_GB2312" w:hAnsi="Times New Roman" w:eastAsia="仿宋_GB2312" w:cs="Times New Roman"/>
                <w:kern w:val="0"/>
                <w:sz w:val="24"/>
                <w:szCs w:val="24"/>
                <w:bdr w:val="none" w:color="auto" w:sz="0" w:space="0"/>
              </w:rPr>
            </w:pPr>
            <w:r>
              <w:rPr>
                <w:rFonts w:hint="eastAsia" w:ascii="仿宋_GB2312" w:hAnsi="Times New Roman" w:eastAsia="仿宋_GB2312" w:cs="仿宋_GB2312"/>
                <w:kern w:val="0"/>
                <w:sz w:val="24"/>
                <w:szCs w:val="24"/>
                <w:bdr w:val="none" w:color="auto" w:sz="0" w:space="0"/>
                <w:lang w:val="en-US" w:eastAsia="zh-CN" w:bidi="ar"/>
              </w:rPr>
              <w:t>（线上订票平台名称：苏打优选）</w:t>
            </w:r>
          </w:p>
        </w:tc>
        <w:tc>
          <w:tcPr>
            <w:tcW w:w="913" w:type="pct"/>
            <w:tcBorders>
              <w:top w:val="single" w:color="auto" w:sz="4" w:space="0"/>
              <w:left w:val="nil"/>
              <w:bottom w:val="single" w:color="auto" w:sz="4" w:space="0"/>
              <w:right w:val="single" w:color="auto" w:sz="4" w:space="0"/>
            </w:tcBorders>
            <w:shd w:val="clear"/>
            <w:vAlign w:val="center"/>
          </w:tcPr>
          <w:p>
            <w:pPr>
              <w:pStyle w:val="4"/>
              <w:widowControl/>
              <w:spacing w:beforeLines="0" w:beforeAutospacing="0" w:afterLines="0" w:afterAutospacing="0" w:line="360" w:lineRule="exact"/>
              <w:jc w:val="center"/>
              <w:rPr>
                <w:rFonts w:hint="eastAsia" w:ascii="仿宋_GB2312" w:hAnsi="Times New Roman" w:eastAsia="仿宋_GB2312" w:cs="仿宋_GB2312"/>
                <w:kern w:val="0"/>
                <w:sz w:val="24"/>
                <w:szCs w:val="24"/>
                <w:bdr w:val="none" w:color="auto" w:sz="0" w:space="0"/>
              </w:rPr>
            </w:pPr>
            <w:r>
              <w:rPr>
                <w:rFonts w:hint="eastAsia" w:ascii="仿宋_GB2312" w:hAnsi="Times New Roman" w:eastAsia="仿宋_GB2312" w:cs="仿宋_GB2312"/>
                <w:kern w:val="0"/>
                <w:sz w:val="24"/>
                <w:szCs w:val="24"/>
                <w:bdr w:val="none" w:color="auto" w:sz="0" w:space="0"/>
              </w:rPr>
              <w:t>77%</w:t>
            </w:r>
          </w:p>
        </w:tc>
        <w:tc>
          <w:tcPr>
            <w:tcW w:w="670" w:type="pct"/>
            <w:vMerge w:val="continue"/>
            <w:tcBorders>
              <w:top w:val="nil"/>
              <w:left w:val="nil"/>
              <w:bottom w:val="single" w:color="auto" w:sz="4" w:space="0"/>
              <w:right w:val="single" w:color="auto" w:sz="4" w:space="0"/>
            </w:tcBorders>
            <w:shd w:val="clear"/>
            <w:vAlign w:val="center"/>
          </w:tcPr>
          <w:p>
            <w:pPr>
              <w:rPr>
                <w:rFonts w:hint="default" w:ascii="Times New Roman" w:hAnsi="Times New Roman" w:cs="Times New Roman"/>
                <w:sz w:val="20"/>
                <w:szCs w:val="20"/>
              </w:rPr>
            </w:pPr>
          </w:p>
        </w:tc>
      </w:tr>
    </w:tbl>
    <w:p>
      <w:pPr>
        <w:keepNext w:val="0"/>
        <w:keepLines w:val="0"/>
        <w:widowControl w:val="0"/>
        <w:suppressLineNumbers w:val="0"/>
        <w:spacing w:before="0" w:beforeLines="0" w:beforeAutospacing="0" w:after="0" w:afterLines="0" w:afterAutospacing="0" w:line="500" w:lineRule="exact"/>
        <w:ind w:left="0" w:right="0"/>
        <w:jc w:val="both"/>
        <w:rPr>
          <w:rFonts w:hint="eastAsia" w:ascii="宋体" w:hAnsi="宋体" w:eastAsia="宋体" w:cs="宋体"/>
          <w:kern w:val="0"/>
          <w:sz w:val="24"/>
          <w:szCs w:val="24"/>
        </w:rPr>
      </w:pPr>
      <w:r>
        <w:rPr>
          <w:rFonts w:hint="eastAsia" w:ascii="仿宋_GB2312" w:hAnsi="Times New Roman" w:eastAsia="仿宋_GB2312" w:cs="仿宋_GB2312"/>
          <w:kern w:val="2"/>
          <w:sz w:val="24"/>
          <w:szCs w:val="24"/>
          <w:lang w:val="en-US" w:eastAsia="zh-CN" w:bidi="ar"/>
        </w:rPr>
        <w:t>注：上述价格包括可能发生的所有与完成相关服务及履行合同义务有关的一切费用，且含税，税率6%。实际结算金额=券面价格*面值折扣率。</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691961"/>
    <w:rsid w:val="03691961"/>
    <w:rsid w:val="04F64CBC"/>
    <w:rsid w:val="0B2F6C54"/>
    <w:rsid w:val="0FE70C38"/>
    <w:rsid w:val="12821AB0"/>
    <w:rsid w:val="140E4272"/>
    <w:rsid w:val="15D453E9"/>
    <w:rsid w:val="19C63037"/>
    <w:rsid w:val="19F6626D"/>
    <w:rsid w:val="1F1E4366"/>
    <w:rsid w:val="21B766E9"/>
    <w:rsid w:val="22D320AF"/>
    <w:rsid w:val="2C023B28"/>
    <w:rsid w:val="2DC57917"/>
    <w:rsid w:val="316210C6"/>
    <w:rsid w:val="329079D5"/>
    <w:rsid w:val="33D24992"/>
    <w:rsid w:val="3666654B"/>
    <w:rsid w:val="3EFB450B"/>
    <w:rsid w:val="45C42B1B"/>
    <w:rsid w:val="47F15B17"/>
    <w:rsid w:val="4A8132EE"/>
    <w:rsid w:val="4C820D41"/>
    <w:rsid w:val="57A80372"/>
    <w:rsid w:val="5BC0468D"/>
    <w:rsid w:val="601453FB"/>
    <w:rsid w:val="61036363"/>
    <w:rsid w:val="654727D3"/>
    <w:rsid w:val="6A2C2AD5"/>
    <w:rsid w:val="6C33417C"/>
    <w:rsid w:val="6F2B205A"/>
    <w:rsid w:val="70BC220E"/>
    <w:rsid w:val="7131169D"/>
    <w:rsid w:val="76411D13"/>
    <w:rsid w:val="78554527"/>
    <w:rsid w:val="7BE17AEF"/>
    <w:rsid w:val="7ECE5B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customStyle="1" w:styleId="4">
    <w:name w:val="p0"/>
    <w:basedOn w:val="1"/>
    <w:uiPriority w:val="0"/>
    <w:pPr>
      <w:keepNext w:val="0"/>
      <w:keepLines w:val="0"/>
      <w:widowControl/>
      <w:suppressLineNumbers w:val="0"/>
      <w:spacing w:before="0" w:beforeAutospacing="0" w:after="0" w:afterAutospacing="0"/>
      <w:ind w:left="0" w:right="0"/>
      <w:jc w:val="both"/>
    </w:pPr>
    <w:rPr>
      <w:rFonts w:hint="default" w:ascii="Times New Roman" w:hAnsi="Times New Roman" w:eastAsia="宋体" w:cs="Times New Roman"/>
      <w:kern w:val="0"/>
      <w:sz w:val="21"/>
      <w:szCs w:val="21"/>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Office_11.8.2.11073_F1E327BC-269C-435d-A152-05C5408002CA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2025-07-08T01:45:00Z</dcterms:created>
  <dc:creator>姜志强</dc:creator>
  <cp:lastModifiedBy>姜志强</cp:lastModifiedBy>
  <dcterms:modified xsi:type="dcterms:W3CDTF">2025-07-08T01:48:07Z</dcterms:modified>
  <dc:title> </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2052-11.8.2.11073</vt:lpwstr>
  </property>
  <property fmtid="{D5CDD505-2E9C-101B-9397-08002B2CF9AE}" pid="3" name="ICV">
    <vt:lpwstr>00A5E6B5453C4BFE9024B781148FF75B</vt:lpwstr>
  </property>
</Properties>
</file>