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560"/>
        <w:jc w:val="left"/>
        <w:rPr>
          <w:rFonts w:hint="default" w:asci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项目入围价格:</w:t>
      </w:r>
    </w:p>
    <w:p>
      <w:pPr>
        <w:widowControl/>
        <w:shd w:val="clear" w:color="auto" w:fill="auto"/>
        <w:spacing w:line="360" w:lineRule="auto"/>
        <w:ind w:firstLine="932" w:firstLineChars="333"/>
        <w:jc w:val="both"/>
        <w:rPr>
          <w:rFonts w:hint="default" w:ascii="仿宋_GB2312" w:hAnsi="宋体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1.深圳市奥拓电子股份有限公司报价表</w:t>
      </w:r>
    </w:p>
    <w:tbl>
      <w:tblPr>
        <w:tblStyle w:val="5"/>
        <w:tblW w:w="89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3555"/>
        <w:gridCol w:w="737"/>
        <w:gridCol w:w="1572"/>
        <w:gridCol w:w="937"/>
        <w:gridCol w:w="1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产品大类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不含税价（元）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室内全彩LED显示屏P1.8 LED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4,513.27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室内全彩LED显示屏P1.2 LED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8,407.08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9,500.00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LED门楣屏P10 LED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1,415.93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LED柔性屏P1.5 LED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7,522.12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8,500.00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LED透明屏P2.6-5.9 LED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3,982.30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4,500.00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吊装式双面海报屏（超薄款）43寸LCD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3,805.31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4,300.00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吊装式双面海报屏（超薄款）49寸LCD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4,424.78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吊装式双面海报屏（超薄款）55寸LCD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3,982.30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4,500.00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落地式海报屏55寸LCD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2,654.87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单面壁挂式/嵌入式海报屏49寸LCD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2,654.87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单面壁挂式/嵌入式海报屏55寸LCD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2,920.35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单面壁挂式/嵌入式海报屏65寸LCD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3,185.84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小型互动屏（电子班牌）12.5寸LCD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1,327.43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小型互动屏（电子班牌）21.5寸LCD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1,415.93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单面壁挂/嵌入式互动屏49寸LCD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2,743.36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单面壁挂/嵌入式互动屏55寸LCD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3,097.35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理财沙龙互动屏65寸LCD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7,079.65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OLED透明屏55寸 OLED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7,964.60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户外条形屏(网点电子门牌)88寸LCD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14,159.29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16,000.00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高清播放终端安卓（鸿蒙）主机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398.23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集成一体式功放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398.23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吸顶音箱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106.19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无线话筒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221.24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无线投屏器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176.99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液压支架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176.99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遥控器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13.27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白板触控笔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30.97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互动屏支架（立式）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442.48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LED控制器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221.24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物联网控制终端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28,318.58 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32,000.00</w:t>
            </w:r>
          </w:p>
        </w:tc>
      </w:tr>
    </w:tbl>
    <w:p>
      <w:pPr>
        <w:widowControl/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bidi="ar"/>
        </w:rPr>
        <w:t>备注：</w:t>
      </w:r>
    </w:p>
    <w:p>
      <w:pPr>
        <w:widowControl/>
        <w:overflowPunct w:val="0"/>
        <w:autoSpaceDE w:val="0"/>
        <w:autoSpaceDN w:val="0"/>
        <w:adjustRightInd w:val="0"/>
        <w:spacing w:line="360" w:lineRule="auto"/>
        <w:ind w:firstLine="480" w:firstLineChars="200"/>
        <w:textAlignment w:val="baseline"/>
        <w:rPr>
          <w:rFonts w:hint="eastAsia" w:ascii="仿宋_GB2312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1、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bidi="ar"/>
        </w:rPr>
        <w:t>以上价格包括但不仅限于运输、安装、调试、培训、验机、技术服务、招标文书所提及场景研发和升级更新以及随机附件、备品备件、专用工具等费用，以及送至工行指定用户现场的所有税、费，供应商不再向中国工商银行收取其他任何费用。</w:t>
      </w:r>
    </w:p>
    <w:p>
      <w:pPr>
        <w:widowControl/>
        <w:numPr>
          <w:ilvl w:val="0"/>
          <w:numId w:val="0"/>
        </w:numPr>
        <w:overflowPunct w:val="0"/>
        <w:autoSpaceDE w:val="0"/>
        <w:autoSpaceDN w:val="0"/>
        <w:adjustRightInd w:val="0"/>
        <w:spacing w:line="360" w:lineRule="auto"/>
        <w:ind w:firstLine="480" w:firstLineChars="200"/>
        <w:textAlignment w:val="baseline"/>
        <w:rPr>
          <w:rFonts w:hint="default" w:asci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2、承诺如入围本项目，使用工行账户结算。</w:t>
      </w:r>
    </w:p>
    <w:p>
      <w:pPr>
        <w:jc w:val="both"/>
        <w:rPr>
          <w:rFonts w:hint="eastAsia" w:ascii="仿宋_GB2312" w:hAnsi="仿宋_GB2312" w:eastAsia="仿宋_GB2312" w:cs="仿宋_GB2312"/>
          <w:i w:val="0"/>
          <w:iCs w:val="0"/>
          <w:color w:val="auto"/>
          <w:kern w:val="2"/>
          <w:sz w:val="24"/>
          <w:szCs w:val="24"/>
          <w:highlight w:val="none"/>
          <w:u w:val="single" w:color="auto"/>
          <w:lang w:val="en-US" w:eastAsia="zh-CN" w:bidi="ar-SA"/>
        </w:rPr>
      </w:pPr>
    </w:p>
    <w:p>
      <w:pPr>
        <w:widowControl/>
        <w:shd w:val="clear" w:color="auto" w:fill="auto"/>
        <w:spacing w:line="360" w:lineRule="auto"/>
        <w:ind w:firstLine="560" w:firstLineChars="200"/>
        <w:jc w:val="center"/>
        <w:rPr>
          <w:rFonts w:hint="eastAsia" w:ascii="仿宋" w:hAnsi="仿宋" w:eastAsia="仿宋" w:cs="仿宋"/>
          <w:b/>
          <w:i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2.福建星网锐捷通讯股份有限公司报价表</w:t>
      </w:r>
    </w:p>
    <w:tbl>
      <w:tblPr>
        <w:tblStyle w:val="5"/>
        <w:tblW w:w="8975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3438"/>
        <w:gridCol w:w="918"/>
        <w:gridCol w:w="1536"/>
        <w:gridCol w:w="891"/>
        <w:gridCol w:w="14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产品大类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不含税价（元）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室内全彩LED显示屏P1.8 LED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4,654.87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5,260.00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室内全彩LED显示屏P1.2 LED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10,353.98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11,700.00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LED门楣屏P10 LED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1,520.35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1,718.00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LED柔性屏P1.5 LED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8,955.75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10,120.00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LED透明屏P2.6-5.9 LED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3,858.41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4,360.00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吊装式双面海报屏（超薄款）43寸LCD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3,716.81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4,200.00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吊装式双面海报屏（超薄款）49寸LCD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4,761.06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5,380.00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吊装式双面海报屏（超薄款）55寸LCD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5,008.85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5,660.00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落地式海报屏55寸LCD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2,787.61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3,150.00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单面壁挂式/嵌入式海报屏49寸LCD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2,902.65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3,280.00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单面壁挂式/嵌入式海报屏55寸LCD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3,238.94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3,660.00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单面壁挂式/嵌入式海报屏65寸LCD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3,433.63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3,880.00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小型互动屏（电子班牌）12.5寸LCD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1,389.38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1,570.00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小型互动屏（电子班牌）21.5寸LCD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1,681.42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1,900.00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单面壁挂/嵌入式互动屏49寸LCD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2,849.56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3,220.00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单面壁挂/嵌入式互动屏55寸LCD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3,079.65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3,480.00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理财沙龙互动屏65寸LCD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7,300.88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8,250.00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OLED透明屏55寸 OLED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8,539.82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9,650.00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户外条形屏(网点电子门牌)88寸LCD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15,221.24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17,200.00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高清播放终端安卓（鸿蒙）主机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424.78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集成一体式功放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460.18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吸顶音箱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108.85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无线话筒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274.34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无线投屏器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318.58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液压支架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185.84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遥控器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白板触控笔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49.56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互动屏支架（立式）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486.73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LED控制器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212.39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物联网控制终端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29,079.65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32,860.00</w:t>
            </w:r>
          </w:p>
        </w:tc>
      </w:tr>
    </w:tbl>
    <w:p>
      <w:pPr>
        <w:widowControl/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bidi="ar"/>
        </w:rPr>
        <w:t>备注：</w:t>
      </w:r>
    </w:p>
    <w:p>
      <w:pPr>
        <w:widowControl/>
        <w:overflowPunct w:val="0"/>
        <w:autoSpaceDE w:val="0"/>
        <w:autoSpaceDN w:val="0"/>
        <w:adjustRightInd w:val="0"/>
        <w:spacing w:line="360" w:lineRule="auto"/>
        <w:ind w:firstLine="480" w:firstLineChars="200"/>
        <w:textAlignment w:val="baseline"/>
        <w:rPr>
          <w:rFonts w:hint="eastAsia" w:ascii="仿宋_GB2312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1、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bidi="ar"/>
        </w:rPr>
        <w:t>以上价格包括但不仅限于运输、安装、调试、培训、验机、技术服务、招标文书所提及场景研发和升级更新以及随机附件、备品备件、专用工具等费用，以及送至工行指定用户现场的所有税、费，供应商不再向中国工商银行收取其他任何费用。</w:t>
      </w:r>
    </w:p>
    <w:p>
      <w:pPr>
        <w:widowControl/>
        <w:numPr>
          <w:ilvl w:val="0"/>
          <w:numId w:val="0"/>
        </w:numPr>
        <w:overflowPunct w:val="0"/>
        <w:autoSpaceDE w:val="0"/>
        <w:autoSpaceDN w:val="0"/>
        <w:adjustRightInd w:val="0"/>
        <w:spacing w:line="360" w:lineRule="auto"/>
        <w:ind w:firstLine="480" w:firstLineChars="200"/>
        <w:textAlignment w:val="baseline"/>
        <w:rPr>
          <w:rFonts w:hint="default" w:asci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2、承诺如入围本项目，使用工行账户结算。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paperSrc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6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919F6"/>
    <w:rsid w:val="21487514"/>
    <w:rsid w:val="30E72A35"/>
    <w:rsid w:val="382919F6"/>
    <w:rsid w:val="4C5928E5"/>
    <w:rsid w:val="6FB72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99"/>
    <w:pPr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next w:val="1"/>
    <w:unhideWhenUsed/>
    <w:qFormat/>
    <w:uiPriority w:val="99"/>
    <w:pPr>
      <w:jc w:val="center"/>
    </w:pPr>
    <w:rPr>
      <w:rFonts w:ascii="仿宋_GB2312" w:hAnsi="Times New Roman" w:eastAsia="仿宋_GB2312"/>
      <w:b/>
      <w:bCs/>
      <w:sz w:val="32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正文文本首行缩进1"/>
    <w:basedOn w:val="3"/>
    <w:qFormat/>
    <w:uiPriority w:val="0"/>
    <w:pPr>
      <w:ind w:firstLine="420" w:firstLineChars="100"/>
    </w:pPr>
  </w:style>
  <w:style w:type="paragraph" w:customStyle="1" w:styleId="8">
    <w:name w:val="p5"/>
    <w:basedOn w:val="1"/>
    <w:qFormat/>
    <w:uiPriority w:val="0"/>
    <w:pPr>
      <w:jc w:val="center"/>
    </w:pPr>
    <w:rPr>
      <w:rFonts w:hint="eastAsia" w:ascii="仿宋" w:hAnsi="仿宋" w:eastAsia="仿宋" w:cs="仿宋"/>
      <w:kern w:val="0"/>
      <w:sz w:val="28"/>
      <w:szCs w:val="28"/>
      <w:lang w:val="en-US" w:eastAsia="zh-CN" w:bidi="ar-SA"/>
    </w:rPr>
  </w:style>
  <w:style w:type="character" w:customStyle="1" w:styleId="9">
    <w:name w:val="s31"/>
    <w:basedOn w:val="6"/>
    <w:qFormat/>
    <w:uiPriority w:val="0"/>
    <w:rPr>
      <w:color w:val="000000"/>
    </w:rPr>
  </w:style>
  <w:style w:type="paragraph" w:customStyle="1" w:styleId="10">
    <w:name w:val=" Char1 Char Char Char"/>
    <w:basedOn w:val="1"/>
    <w:qFormat/>
    <w:uiPriority w:val="0"/>
    <w:rPr>
      <w:rFonts w:ascii="Times New Roman" w:hAnsi="Times New Roman" w:eastAsia="宋体" w:cs="Times New Roman"/>
    </w:rPr>
  </w:style>
  <w:style w:type="paragraph" w:customStyle="1" w:styleId="11">
    <w:name w:val="p6"/>
    <w:basedOn w:val="1"/>
    <w:qFormat/>
    <w:uiPriority w:val="0"/>
    <w:pPr>
      <w:jc w:val="left"/>
    </w:pPr>
    <w:rPr>
      <w:rFonts w:hint="eastAsia" w:ascii="仿宋_GB2312" w:hAnsi="宋体" w:eastAsia="仿宋_GB2312" w:cs="仿宋_GB2312"/>
      <w:kern w:val="0"/>
      <w:sz w:val="20"/>
      <w:szCs w:val="20"/>
      <w:lang w:val="en-US" w:eastAsia="zh-CN" w:bidi="ar"/>
    </w:rPr>
  </w:style>
  <w:style w:type="character" w:customStyle="1" w:styleId="12">
    <w:name w:val="s41"/>
    <w:basedOn w:val="6"/>
    <w:qFormat/>
    <w:uiPriority w:val="0"/>
    <w:rPr>
      <w:color w:val="000000"/>
      <w:u w:val="single"/>
    </w:rPr>
  </w:style>
  <w:style w:type="paragraph" w:customStyle="1" w:styleId="13">
    <w:name w:val="p4"/>
    <w:basedOn w:val="1"/>
    <w:qFormat/>
    <w:uiPriority w:val="0"/>
    <w:pPr>
      <w:ind w:firstLine="560"/>
      <w:jc w:val="left"/>
    </w:pPr>
    <w:rPr>
      <w:rFonts w:hint="eastAsia" w:ascii="仿宋_GB2312" w:hAnsi="宋体" w:eastAsia="仿宋_GB2312" w:cs="仿宋_GB2312"/>
      <w:kern w:val="0"/>
      <w:sz w:val="28"/>
      <w:szCs w:val="28"/>
      <w:lang w:val="en-US" w:eastAsia="zh-CN" w:bidi="ar"/>
    </w:rPr>
  </w:style>
  <w:style w:type="character" w:customStyle="1" w:styleId="14">
    <w:name w:val="s11"/>
    <w:basedOn w:val="6"/>
    <w:qFormat/>
    <w:uiPriority w:val="0"/>
    <w:rPr>
      <w:b/>
      <w:color w:val="000000"/>
    </w:rPr>
  </w:style>
  <w:style w:type="paragraph" w:customStyle="1" w:styleId="15">
    <w:name w:val="p8"/>
    <w:basedOn w:val="1"/>
    <w:qFormat/>
    <w:uiPriority w:val="0"/>
    <w:pPr>
      <w:jc w:val="left"/>
    </w:pPr>
    <w:rPr>
      <w:rFonts w:hint="eastAsia" w:ascii="仿宋" w:hAnsi="仿宋" w:eastAsia="仿宋" w:cs="仿宋"/>
      <w:kern w:val="0"/>
      <w:sz w:val="22"/>
      <w:szCs w:val="22"/>
      <w:lang w:val="en-US" w:eastAsia="zh-CN" w:bidi="ar-SA"/>
    </w:rPr>
  </w:style>
  <w:style w:type="paragraph" w:customStyle="1" w:styleId="16">
    <w:name w:val="p0"/>
    <w:basedOn w:val="1"/>
    <w:qFormat/>
    <w:uiPriority w:val="0"/>
    <w:pPr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kern w:val="0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2025-07-07T07:04:00Z</dcterms:created>
  <dc:creator>刘茜</dc:creator>
  <cp:lastModifiedBy>刘茜</cp:lastModifiedBy>
  <dcterms:modified xsi:type="dcterms:W3CDTF">2025-07-07T07:16:28Z</dcterms:modified>
  <dc:title>寄达区域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2052-11.8.2.11073</vt:lpwstr>
  </property>
  <property fmtid="{D5CDD505-2E9C-101B-9397-08002B2CF9AE}" pid="3" name="ICV">
    <vt:lpwstr>FF55D3DE754243E9B2BFDC4BF2CA28CE</vt:lpwstr>
  </property>
</Properties>
</file>