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0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1、项目名称：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中国工商银行安徽铜陵分行对公客户外部引流服务项目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0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2、项目编号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：财会/定点-安徽铜陵-2025-001/总0057-结算现金-其他服务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0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3、采购标的：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铜陵分行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对公客户外部引流服务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0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4、采购形式：定点供应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0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5、采购方式：竞争性谈判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0"/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6、推荐供应商：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 w:firstLine="0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安徽省企富产业园管理有限公司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铜陵市希诚财税咨询有限公司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铜陵鑫瑞企业管理有限公司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铜陵瑞沃信息咨询有限公司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铜陵诚鑫财税咨询有限公司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铜陵市东奥财税咨询有限公司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铜陵祺业财务咨询管理有限公司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铜陵市金算盘财税咨询有限公司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铜陵市富达财务代理有限公司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铜陵盛世金源财税管理有限公司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铜陵六分之二商务服务有限公司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铜陵凯普企服科技有限公司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铜陵市千度财务信息咨询有限公司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、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枞阳中聪财务服务有限公司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 w:asciiTheme="majorEastAsia" w:hAnsiTheme="majorEastAsia" w:eastAsiaTheme="majorEastAsia" w:cstheme="majorEastAsia"/>
          <w:b w:val="0"/>
          <w:bCs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7.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采购价格：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br w:type="textWrapping"/>
      </w:r>
      <w:r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  <w:t> </w:t>
      </w: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 w:asciiTheme="majorEastAsia" w:hAnsiTheme="majorEastAsia" w:eastAsiaTheme="majorEastAsia" w:cstheme="majorEastAsia"/>
          <w:b w:val="0"/>
          <w:bCs/>
          <w:color w:val="auto"/>
          <w:kern w:val="0"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Fonts w:hint="eastAsia" w:asciiTheme="majorEastAsia" w:hAnsiTheme="majorEastAsia" w:eastAsiaTheme="majorEastAsia" w:cstheme="majorEastAsia"/>
          <w:b w:val="0"/>
          <w:bCs/>
          <w:color w:val="auto"/>
          <w:kern w:val="0"/>
          <w:sz w:val="44"/>
          <w:szCs w:val="44"/>
          <w:highlight w:val="none"/>
          <w:lang w:val="en-US"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line="360" w:lineRule="auto"/>
        <w:jc w:val="both"/>
        <w:rPr>
          <w:rStyle w:val="7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</w:p>
    <w:p>
      <w:pPr>
        <w:pStyle w:val="2"/>
        <w:rPr>
          <w:rFonts w:hint="eastAsia"/>
        </w:rPr>
      </w:pPr>
      <w:bookmarkStart w:id="0" w:name="_GoBack"/>
      <w:bookmarkEnd w:id="0"/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铜陵市金算盘财税咨询有限公司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最终谈判价</w:t>
      </w:r>
    </w:p>
    <w:tbl>
      <w:tblPr>
        <w:tblStyle w:val="5"/>
        <w:tblW w:w="90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61"/>
        <w:gridCol w:w="840"/>
        <w:gridCol w:w="1200"/>
        <w:gridCol w:w="1380"/>
        <w:gridCol w:w="1624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推荐类型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最终价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服务范围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（件）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增值税率（</w:t>
            </w:r>
            <w:r>
              <w:rPr>
                <w:rStyle w:val="9"/>
                <w:rFonts w:hAnsi="宋体"/>
                <w:sz w:val="24"/>
                <w:szCs w:val="24"/>
                <w:lang w:val="en-US" w:eastAsia="zh-CN" w:bidi="ar"/>
              </w:rPr>
              <w:t>%）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月推荐新开有效基本账户≥20户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本项目拟采购铜陵分行对公客户外部引流服务供应商。主要用途是全行对公客户拓户。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新开基本账户、一般账户指：由财税公司推荐的在铜陵工行网点开立的对公人民币有效结算账户，有效结算账户是指截至开户当年年末，所推荐的账户日均余额大于零且年结算量不少于1万元的账户，具体以工行系统统计为准。在合作期间内，同一客户名称开立多个账号的按照1户计算新开户数量。</w:t>
            </w:r>
          </w:p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2.以上价格含税，可开具增值税专用发票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月推荐新开有效基本账户＜20户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推荐新开有效一般账户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在上述基础上，成功推荐到账伴侣或代发工资（两者不累加计算）。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rPr>
          <w:rFonts w:hint="eastAsia"/>
          <w:lang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铜陵市富达财务代理有限公司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最终谈判价</w:t>
      </w:r>
    </w:p>
    <w:tbl>
      <w:tblPr>
        <w:tblStyle w:val="5"/>
        <w:tblW w:w="90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61"/>
        <w:gridCol w:w="840"/>
        <w:gridCol w:w="1200"/>
        <w:gridCol w:w="1380"/>
        <w:gridCol w:w="1624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推荐类型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最终价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服务范围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（件）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增值税率（</w:t>
            </w:r>
            <w:r>
              <w:rPr>
                <w:rStyle w:val="9"/>
                <w:rFonts w:hAnsi="宋体"/>
                <w:sz w:val="24"/>
                <w:szCs w:val="24"/>
                <w:lang w:val="en-US" w:eastAsia="zh-CN" w:bidi="ar"/>
              </w:rPr>
              <w:t>%）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月推荐新开有效基本账户≥20户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本项目拟采购铜陵分行对公客户外部引流服务供应商。主要用途是全行对公客户拓户。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新开基本账户、一般账户指：由财税公司推荐的在铜陵工行网点开立的对公人民币有效结算账户，有效结算账户是指截至开户当年年末，所推荐的账户日均余额大于零且年结算量不少于1万元的账户，具体以工行系统统计为准。在合作期间内，同一客户名称开立多个账号的按照1户计算新开户数量。</w:t>
            </w:r>
          </w:p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2.以上价格含税，可开具增值税专用发票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月推荐新开有效基本账户＜20户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推荐新开有效一般账户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在上述基础上，成功推荐到账伴侣或代发工资（两者不累加计算）。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ind w:firstLine="562" w:firstLineChars="200"/>
        <w:rPr>
          <w:rFonts w:hint="eastAsia" w:hAnsi="宋体"/>
          <w:b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铜陵鑫瑞企业管理有限公司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最终谈判价</w:t>
      </w:r>
    </w:p>
    <w:tbl>
      <w:tblPr>
        <w:tblStyle w:val="5"/>
        <w:tblW w:w="90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61"/>
        <w:gridCol w:w="840"/>
        <w:gridCol w:w="1200"/>
        <w:gridCol w:w="1380"/>
        <w:gridCol w:w="1624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推荐类型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最终价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服务范围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（件）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增值税率（</w:t>
            </w:r>
            <w:r>
              <w:rPr>
                <w:rStyle w:val="9"/>
                <w:rFonts w:hAnsi="宋体"/>
                <w:sz w:val="24"/>
                <w:szCs w:val="24"/>
                <w:lang w:val="en-US" w:eastAsia="zh-CN" w:bidi="ar"/>
              </w:rPr>
              <w:t>%）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月推荐新开有效基本账户≥20户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350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本项目拟采购铜陵分行对公客户外部引流服务供应商。主要用途是全行对公客户拓户。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新开基本账户、一般账户指：由财税公司推荐的在铜陵工行网点开立的对公人民币有效结算账户，有效结算账户是指截至开户当年年末，所推荐的账户日均余额大于零且年结算量不少于1万元的账户，具体以工行系统统计为准。在合作期间内，同一客户名称开立多个账号的按照1户计算新开户数量。</w:t>
            </w:r>
          </w:p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2.以上价格含税，可开具增值税专用发票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月推荐新开有效基本账户＜20户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推荐新开有效一般账户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在上述基础上，成功推荐到账伴侣或代发工资（两者不累加计算）。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ind w:firstLine="562" w:firstLineChars="200"/>
        <w:rPr>
          <w:rFonts w:hint="eastAsia" w:hAnsi="宋体"/>
          <w:b/>
          <w:bCs/>
          <w:sz w:val="28"/>
          <w:szCs w:val="28"/>
          <w:lang w:eastAsia="zh-CN"/>
        </w:rPr>
      </w:pPr>
    </w:p>
    <w:p>
      <w:pPr>
        <w:pStyle w:val="2"/>
        <w:rPr>
          <w:rFonts w:hint="eastAsia" w:hAnsi="宋体"/>
          <w:b/>
          <w:bCs/>
          <w:sz w:val="28"/>
          <w:szCs w:val="28"/>
          <w:lang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铜陵盛世金源财税管理有限公司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最终谈判价</w:t>
      </w:r>
    </w:p>
    <w:tbl>
      <w:tblPr>
        <w:tblStyle w:val="5"/>
        <w:tblW w:w="90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61"/>
        <w:gridCol w:w="840"/>
        <w:gridCol w:w="1200"/>
        <w:gridCol w:w="1380"/>
        <w:gridCol w:w="1624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推荐类型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最终价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服务范围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（件）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增值税率（</w:t>
            </w:r>
            <w:r>
              <w:rPr>
                <w:rStyle w:val="9"/>
                <w:rFonts w:hAnsi="宋体"/>
                <w:sz w:val="24"/>
                <w:szCs w:val="24"/>
                <w:lang w:val="en-US" w:eastAsia="zh-CN" w:bidi="ar"/>
              </w:rPr>
              <w:t>%）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月推荐新开有效基本账户≥20户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本项目拟采购铜陵分行对公客户外部引流服务供应商。主要用途是全行对公客户拓户。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新开基本账户、一般账户指：由财税公司推荐的在铜陵工行网点开立的对公人民币有效结算账户，有效结算账户是指截至开户当年年末，所推荐的账户日均余额大于零且年结算量不少于1万元的账户，具体以工行系统统计为准。在合作期间内，同一客户名称开立多个账号的按照1户计算新开户数量。</w:t>
            </w:r>
          </w:p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2.以上价格含税，可开具增值税专用发票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月推荐新开有效基本账户＜20户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推荐新开有效一般账户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在上述基础上，成功推荐到账伴侣或代发工资（两者不累加计算）。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铜陵市东奥财税咨询有限公司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最终谈判价</w:t>
      </w:r>
    </w:p>
    <w:tbl>
      <w:tblPr>
        <w:tblStyle w:val="5"/>
        <w:tblW w:w="90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61"/>
        <w:gridCol w:w="840"/>
        <w:gridCol w:w="1200"/>
        <w:gridCol w:w="1380"/>
        <w:gridCol w:w="1624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推荐类型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最终价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服务范围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（件）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增值税率（</w:t>
            </w:r>
            <w:r>
              <w:rPr>
                <w:rStyle w:val="9"/>
                <w:rFonts w:hAnsi="宋体"/>
                <w:sz w:val="24"/>
                <w:szCs w:val="24"/>
                <w:lang w:val="en-US" w:eastAsia="zh-CN" w:bidi="ar"/>
              </w:rPr>
              <w:t>%）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月推荐新开有效基本账户≥20户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本项目拟采购铜陵分行对公客户外部引流服务供应商。主要用途是全行对公客户拓户。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新开基本账户、一般账户指：由财税公司推荐的在铜陵工行网点开立的对公人民币有效结算账户，有效结算账户是指截至开户当年年末，所推荐的账户日均余额大于零且年结算量不少于1万元的账户，具体以工行系统统计为准。在合作期间内，同一客户名称开立多个账号的按照1户计算新开户数量。</w:t>
            </w:r>
          </w:p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2.以上价格含税，可开具增值税专用发票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月推荐新开有效基本账户＜20户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推荐新开有效一般账户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在上述基础上，成功推荐到账伴侣或代发工资（两者不累加计算）。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铜陵市希诚财税咨询有限公司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最终谈判价</w:t>
      </w:r>
    </w:p>
    <w:tbl>
      <w:tblPr>
        <w:tblStyle w:val="5"/>
        <w:tblW w:w="90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61"/>
        <w:gridCol w:w="840"/>
        <w:gridCol w:w="1200"/>
        <w:gridCol w:w="1380"/>
        <w:gridCol w:w="1624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推荐类型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最终价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服务范围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（件）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增值税率（</w:t>
            </w:r>
            <w:r>
              <w:rPr>
                <w:rStyle w:val="9"/>
                <w:rFonts w:hAnsi="宋体"/>
                <w:sz w:val="24"/>
                <w:szCs w:val="24"/>
                <w:lang w:val="en-US" w:eastAsia="zh-CN" w:bidi="ar"/>
              </w:rPr>
              <w:t>%）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月推荐新开有效基本账户≥20户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328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本项目拟采购铜陵分行对公客户外部引流服务供应商。主要用途是全行对公客户拓户。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新开基本账户、一般账户指：由财税公司推荐的在铜陵工行网点开立的对公人民币有效结算账户，有效结算账户是指截至开户当年年末，所推荐的账户日均余额大于零且年结算量不少于1万元的账户，具体以工行系统统计为准。在合作期间内，同一客户名称开立多个账号的按照1户计算新开户数量。</w:t>
            </w:r>
          </w:p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2.以上价格含税，可开具增值税专用发票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月推荐新开有效基本账户＜20户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推荐新开有效一般账户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在上述基础上，成功推荐到账伴侣或代发工资（两者不累加计算）。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铜陵六分之二商务服务有限公司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最终谈判价</w:t>
      </w:r>
    </w:p>
    <w:tbl>
      <w:tblPr>
        <w:tblStyle w:val="5"/>
        <w:tblW w:w="90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61"/>
        <w:gridCol w:w="840"/>
        <w:gridCol w:w="1200"/>
        <w:gridCol w:w="1380"/>
        <w:gridCol w:w="1624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推荐类型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最终价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服务范围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（件）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增值税率（</w:t>
            </w:r>
            <w:r>
              <w:rPr>
                <w:rStyle w:val="9"/>
                <w:rFonts w:hAnsi="宋体"/>
                <w:sz w:val="24"/>
                <w:szCs w:val="24"/>
                <w:lang w:val="en-US" w:eastAsia="zh-CN" w:bidi="ar"/>
              </w:rPr>
              <w:t>%）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月推荐新开有效基本账户≥20户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本项目拟采购铜陵分行对公客户外部引流服务供应商。主要用途是全行对公客户拓户。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新开基本账户、一般账户指：由财税公司推荐的在铜陵工行网点开立的对公人民币有效结算账户，有效结算账户是指截至开户当年年末，所推荐的账户日均余额大于零且年结算量不少于1万元的账户，具体以工行系统统计为准。在合作期间内，同一客户名称开立多个账号的按照1户计算新开户数量。</w:t>
            </w:r>
          </w:p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2.以上价格含税，可开具增值税专用发票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月推荐新开有效基本账户＜20户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推荐新开有效一般账户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在上述基础上，成功推荐到账伴侣或代发工资（两者不累加计算）。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枞阳中聪财务服务有限公司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最终谈判价</w:t>
      </w:r>
    </w:p>
    <w:tbl>
      <w:tblPr>
        <w:tblStyle w:val="5"/>
        <w:tblW w:w="90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61"/>
        <w:gridCol w:w="840"/>
        <w:gridCol w:w="1200"/>
        <w:gridCol w:w="1380"/>
        <w:gridCol w:w="1624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推荐类型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最终价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服务范围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（件）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增值税率（</w:t>
            </w:r>
            <w:r>
              <w:rPr>
                <w:rStyle w:val="9"/>
                <w:rFonts w:hAnsi="宋体"/>
                <w:sz w:val="24"/>
                <w:szCs w:val="24"/>
                <w:lang w:val="en-US" w:eastAsia="zh-CN" w:bidi="ar"/>
              </w:rPr>
              <w:t>%）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月推荐新开有效基本账户≥20户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310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本项目拟采购铜陵分行对公客户外部引流服务供应商。主要用途是全行对公客户拓户。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新开基本账户、一般账户指：由财税公司推荐的在铜陵工行网点开立的对公人民币有效结算账户，有效结算账户是指截至开户当年年末，所推荐的账户日均余额大于零且年结算量不少于1万元的账户，具体以工行系统统计为准。在合作期间内，同一客户名称开立多个账号的按照1户计算新开户数量。</w:t>
            </w:r>
          </w:p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2.以上价格含税，可开具增值税专用发票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月推荐新开有效基本账户＜20户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推荐新开有效一般账户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在上述基础上，成功推荐到账伴侣或代发工资（两者不累加计算）。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3"/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铜陵市千度财务信息咨询有限公司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  <w:t>最终谈判价</w:t>
      </w:r>
    </w:p>
    <w:tbl>
      <w:tblPr>
        <w:tblStyle w:val="5"/>
        <w:tblW w:w="902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861"/>
        <w:gridCol w:w="840"/>
        <w:gridCol w:w="1200"/>
        <w:gridCol w:w="1380"/>
        <w:gridCol w:w="1624"/>
        <w:gridCol w:w="15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推荐类型</w:t>
            </w:r>
          </w:p>
        </w:tc>
        <w:tc>
          <w:tcPr>
            <w:tcW w:w="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报价类型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计价单位</w:t>
            </w:r>
          </w:p>
        </w:tc>
        <w:tc>
          <w:tcPr>
            <w:tcW w:w="2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最终价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服务范围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15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（件）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增值税率（</w:t>
            </w:r>
            <w:r>
              <w:rPr>
                <w:rStyle w:val="9"/>
                <w:rFonts w:hAnsi="宋体"/>
                <w:sz w:val="24"/>
                <w:szCs w:val="24"/>
                <w:lang w:val="en-US" w:eastAsia="zh-CN" w:bidi="ar"/>
              </w:rPr>
              <w:t>%）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月推荐新开有效基本账户≥20户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</w:t>
            </w:r>
          </w:p>
        </w:tc>
        <w:tc>
          <w:tcPr>
            <w:tcW w:w="162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val="en-US" w:eastAsia="zh-CN"/>
              </w:rPr>
              <w:t>本项目拟采购铜陵分行对公客户外部引流服务供应商。主要用途是全行对公客户拓户。</w:t>
            </w:r>
          </w:p>
        </w:tc>
        <w:tc>
          <w:tcPr>
            <w:tcW w:w="158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新开基本账户、一般账户指：由财税公司推荐的在铜陵工行网点开立的对公人民币有效结算账户，有效结算账户是指截至开户当年年末，所推荐的账户日均余额大于零且年结算量不少于1万元的账户，具体以工行系统统计为准。在合作期间内，同一客户名称开立多个账号的按照1户计算新开户数量。</w:t>
            </w:r>
          </w:p>
          <w:p>
            <w:pPr>
              <w:ind w:right="25"/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highlight w:val="none"/>
              </w:rPr>
              <w:t>2.以上价格含税，可开具增值税专用发票</w:t>
            </w:r>
            <w:r>
              <w:rPr>
                <w:rFonts w:hint="eastAsia" w:ascii="仿宋_GB2312" w:eastAsia="仿宋_GB2312"/>
                <w:color w:val="000000"/>
                <w:sz w:val="24"/>
                <w:highlight w:val="none"/>
                <w:lang w:eastAsia="zh-CN"/>
              </w:rPr>
              <w:t>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月推荐新开有效基本账户＜20户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推荐新开有效一般账户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在上述基础上，成功推荐到账伴侣或代发工资（两者不累加计算）。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户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1%</w:t>
            </w:r>
          </w:p>
        </w:tc>
        <w:tc>
          <w:tcPr>
            <w:tcW w:w="13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62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8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both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360" w:lineRule="atLeast"/>
        <w:ind w:left="0" w:right="0"/>
        <w:jc w:val="both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right="0" w:firstLine="560" w:firstLineChars="200"/>
        <w:jc w:val="both"/>
        <w:textAlignment w:val="auto"/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入围供应商：铜陵市金算盘财税咨询有限公司、铜陵市富达财务代理有限公司、铜陵鑫瑞企业管理有限公司、铜陵盛世金源财税管理有限公司、铜陵市东奥财税咨询有限公司、铜陵市希诚财税咨询有限公司、铜陵六分之二商务服务有限公司、枞阳中聪财务服务有限公司、铜陵市千度财务信息咨询有限公司。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tLeast"/>
        <w:ind w:left="0" w:right="0" w:firstLine="560" w:firstLineChars="200"/>
        <w:jc w:val="both"/>
        <w:textAlignment w:val="auto"/>
      </w:pP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eastAsia="zh-CN"/>
        </w:rPr>
        <w:t>入围有效期：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自202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5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年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5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月1日起至202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7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年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4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月3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0</w:t>
      </w:r>
      <w:r>
        <w:rPr>
          <w:rFonts w:hint="eastAsia" w:ascii="仿宋_GB2312" w:hAnsi="Times New Roman" w:eastAsia="仿宋_GB2312" w:cs="仿宋_GB2312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</w:rPr>
        <w:t>日止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ans-serif">
    <w:altName w:val="中易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中易宋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5F56CD1"/>
    <w:rsid w:val="4A1947CF"/>
    <w:rsid w:val="77DBA85D"/>
    <w:rsid w:val="7FF77445"/>
    <w:rsid w:val="BF7F04B5"/>
    <w:rsid w:val="BF9AF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next w:val="3"/>
    <w:qFormat/>
    <w:uiPriority w:val="0"/>
    <w:pPr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1"/>
    <w:qFormat/>
    <w:uiPriority w:val="0"/>
    <w:rPr>
      <w:rFonts w:ascii="仿宋_GB2312" w:hAnsi="宋体" w:eastAsia="仿宋_GB2312"/>
      <w:spacing w:val="24"/>
      <w:sz w:val="2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p0"/>
    <w:basedOn w:val="1"/>
    <w:qFormat/>
    <w:uiPriority w:val="0"/>
    <w:pPr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kern w:val="0"/>
      <w:sz w:val="21"/>
      <w:szCs w:val="21"/>
      <w:lang w:val="en-US" w:eastAsia="zh-CN" w:bidi="ar"/>
    </w:rPr>
  </w:style>
  <w:style w:type="character" w:customStyle="1" w:styleId="9">
    <w:name w:val="font21"/>
    <w:basedOn w:val="6"/>
    <w:qFormat/>
    <w:uiPriority w:val="0"/>
    <w:rPr>
      <w:rFonts w:hint="eastAsia" w:ascii="仿宋_GB2312" w:eastAsia="仿宋_GB2312" w:cs="仿宋_GB2312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Office_11.8.2.12325_F1E327BC-269C-435d-A152-05C5408002CA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2018-07-11T23:11:00Z</dcterms:created>
  <dc:creator>d</dc:creator>
  <cp:lastModifiedBy>张夕琳</cp:lastModifiedBy>
  <dcterms:modified xsi:type="dcterms:W3CDTF">2025-04-28T14:34:07Z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2052-11.8.2.12325</vt:lpwstr>
  </property>
  <property fmtid="{D5CDD505-2E9C-101B-9397-08002B2CF9AE}" pid="3" name="ICV">
    <vt:lpwstr>52ECB86ABDC59746F3FC0E684C5C78D6</vt:lpwstr>
  </property>
</Properties>
</file>