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firstLine="560"/>
        <w:jc w:val="left"/>
        <w:rPr>
          <w:rFonts w:hint="default" w:ascii="仿宋_GB2312" w:hAnsi="Times New Roman" w:eastAsia="仿宋_GB2312" w:cs="仿宋_GB2312"/>
          <w:kern w:val="0"/>
          <w:sz w:val="28"/>
          <w:szCs w:val="28"/>
        </w:rPr>
      </w:pPr>
      <w:r>
        <w:rPr>
          <w:rFonts w:hint="default" w:ascii="仿宋_GB2312" w:hAnsi="Times New Roman" w:eastAsia="仿宋_GB2312" w:cs="仿宋_GB2312"/>
          <w:kern w:val="0"/>
          <w:sz w:val="28"/>
          <w:szCs w:val="28"/>
          <w:lang w:eastAsia="zh-CN"/>
        </w:rPr>
        <w:t xml:space="preserve">最终价格： </w:t>
      </w:r>
    </w:p>
    <w:tbl>
      <w:tblPr>
        <w:tblStyle w:val="3"/>
        <w:tblW w:w="83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9"/>
        <w:gridCol w:w="485"/>
        <w:gridCol w:w="598"/>
        <w:gridCol w:w="711"/>
        <w:gridCol w:w="823"/>
        <w:gridCol w:w="936"/>
        <w:gridCol w:w="485"/>
        <w:gridCol w:w="711"/>
        <w:gridCol w:w="936"/>
        <w:gridCol w:w="711"/>
        <w:gridCol w:w="710"/>
        <w:gridCol w:w="486"/>
        <w:gridCol w:w="4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0" w:hRule="atLeast"/>
        </w:trPr>
        <w:tc>
          <w:tcPr>
            <w:tcW w:w="259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序号</w:t>
            </w:r>
            <w:r>
              <w:t xml:space="preserve"> </w:t>
            </w:r>
          </w:p>
        </w:tc>
        <w:tc>
          <w:tcPr>
            <w:tcW w:w="1083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中标候选人名称 项目内容</w:t>
            </w:r>
            <w:r>
              <w:t xml:space="preserve"> </w:t>
            </w:r>
          </w:p>
        </w:tc>
        <w:tc>
          <w:tcPr>
            <w:tcW w:w="69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投标报价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0" w:hRule="atLeast"/>
        </w:trPr>
        <w:tc>
          <w:tcPr>
            <w:tcW w:w="259" w:type="dxa"/>
            <w:vMerge w:val="continue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83" w:type="dxa"/>
            <w:gridSpan w:val="2"/>
            <w:vMerge w:val="continue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313" w:type="dxa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起诉案件</w:t>
            </w:r>
            <w:r>
              <w:t xml:space="preserve"> </w:t>
            </w:r>
          </w:p>
        </w:tc>
        <w:tc>
          <w:tcPr>
            <w:tcW w:w="1681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被诉案件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0" w:hRule="atLeast"/>
        </w:trPr>
        <w:tc>
          <w:tcPr>
            <w:tcW w:w="259" w:type="dxa"/>
            <w:vMerge w:val="continue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83" w:type="dxa"/>
            <w:gridSpan w:val="2"/>
            <w:vMerge w:val="continue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53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个人类</w:t>
            </w:r>
            <w:r>
              <w:t xml:space="preserve"> </w:t>
            </w:r>
            <w:r>
              <w:br w:type="textWrapping"/>
            </w:r>
            <w:r>
              <w:rPr>
                <w:rStyle w:val="7"/>
              </w:rPr>
              <w:t>（不含信用卡）</w:t>
            </w:r>
            <w:r>
              <w:t xml:space="preserve"> </w:t>
            </w:r>
          </w:p>
        </w:tc>
        <w:tc>
          <w:tcPr>
            <w:tcW w:w="142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信用卡类</w:t>
            </w:r>
            <w:r>
              <w:t xml:space="preserve"> </w:t>
            </w:r>
          </w:p>
        </w:tc>
        <w:tc>
          <w:tcPr>
            <w:tcW w:w="235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法人类</w:t>
            </w:r>
            <w:r>
              <w:t xml:space="preserve"> </w:t>
            </w:r>
          </w:p>
        </w:tc>
        <w:tc>
          <w:tcPr>
            <w:tcW w:w="1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个人类</w:t>
            </w:r>
            <w:r>
              <w:t xml:space="preserve"> </w:t>
            </w:r>
            <w:r>
              <w:br w:type="textWrapping"/>
            </w:r>
            <w:r>
              <w:rPr>
                <w:rStyle w:val="7"/>
              </w:rPr>
              <w:t>（含信用卡）</w:t>
            </w:r>
            <w:r>
              <w:t xml:space="preserve"> </w:t>
            </w:r>
          </w:p>
        </w:tc>
        <w:tc>
          <w:tcPr>
            <w:tcW w:w="4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法人类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80" w:hRule="atLeast"/>
        </w:trPr>
        <w:tc>
          <w:tcPr>
            <w:tcW w:w="259" w:type="dxa"/>
            <w:vMerge w:val="continue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83" w:type="dxa"/>
            <w:gridSpan w:val="2"/>
            <w:vMerge w:val="continue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实际收回金额×5%（含）</w:t>
            </w:r>
            <w:r>
              <w:t xml:space="preserve"> </w:t>
            </w:r>
          </w:p>
        </w:tc>
        <w:tc>
          <w:tcPr>
            <w:tcW w:w="82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按件计价,2000（含）元/件</w:t>
            </w:r>
            <w:r>
              <w:t xml:space="preserve"> </w:t>
            </w:r>
          </w:p>
        </w:tc>
        <w:tc>
          <w:tcPr>
            <w:tcW w:w="9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实际收回金额×5%（含）；</w:t>
            </w:r>
            <w:r>
              <w:t xml:space="preserve"> </w:t>
            </w:r>
          </w:p>
        </w:tc>
        <w:tc>
          <w:tcPr>
            <w:tcW w:w="4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按件计价1000元/件；</w:t>
            </w:r>
            <w:r>
              <w:t xml:space="preserve"> </w:t>
            </w:r>
          </w:p>
        </w:tc>
        <w:tc>
          <w:tcPr>
            <w:tcW w:w="7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标的（本金）金额1000万元（含）以内，实际收回金额×5%（含）</w:t>
            </w:r>
            <w:r>
              <w:t xml:space="preserve"> </w:t>
            </w:r>
          </w:p>
        </w:tc>
        <w:tc>
          <w:tcPr>
            <w:tcW w:w="93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标的（本金）金额1000万元-5000万元（含），实际收回金额×3%（含）</w:t>
            </w:r>
            <w:r>
              <w:t xml:space="preserve"> </w:t>
            </w:r>
          </w:p>
        </w:tc>
        <w:tc>
          <w:tcPr>
            <w:tcW w:w="7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标的（本金）金额5000万元以上，实际收回金额×1.5%（含）</w:t>
            </w:r>
            <w:r>
              <w:t xml:space="preserve"> </w:t>
            </w:r>
          </w:p>
        </w:tc>
        <w:tc>
          <w:tcPr>
            <w:tcW w:w="7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避免损失金额×8%；</w:t>
            </w:r>
            <w:r>
              <w:t xml:space="preserve"> </w:t>
            </w:r>
          </w:p>
        </w:tc>
        <w:tc>
          <w:tcPr>
            <w:tcW w:w="48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按件计价5000元/件；</w:t>
            </w:r>
            <w:r>
              <w:t xml:space="preserve"> </w:t>
            </w:r>
          </w:p>
        </w:tc>
        <w:tc>
          <w:tcPr>
            <w:tcW w:w="4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避免损失金额×5%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1</w:t>
            </w:r>
            <w:r>
              <w:t xml:space="preserve"> </w:t>
            </w:r>
          </w:p>
        </w:tc>
        <w:tc>
          <w:tcPr>
            <w:tcW w:w="48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广西众维律师事务所</w:t>
            </w:r>
            <w:r>
              <w:t xml:space="preserve"> </w:t>
            </w: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投标报价（下浮系数）（含税）（%）</w:t>
            </w:r>
            <w: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10</w:t>
            </w:r>
            <w:r>
              <w:t xml:space="preserve"> </w:t>
            </w:r>
          </w:p>
        </w:tc>
        <w:tc>
          <w:tcPr>
            <w:tcW w:w="142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5</w:t>
            </w:r>
            <w:r>
              <w:t xml:space="preserve"> </w:t>
            </w:r>
          </w:p>
        </w:tc>
        <w:tc>
          <w:tcPr>
            <w:tcW w:w="235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1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10</w:t>
            </w:r>
            <w:r>
              <w:t xml:space="preserve"> </w:t>
            </w:r>
          </w:p>
        </w:tc>
        <w:tc>
          <w:tcPr>
            <w:tcW w:w="4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20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8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税率（%）</w:t>
            </w:r>
            <w:r>
              <w:t xml:space="preserve"> </w:t>
            </w:r>
          </w:p>
        </w:tc>
        <w:tc>
          <w:tcPr>
            <w:tcW w:w="69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6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2</w:t>
            </w:r>
            <w:r>
              <w:t xml:space="preserve"> </w:t>
            </w:r>
          </w:p>
        </w:tc>
        <w:tc>
          <w:tcPr>
            <w:tcW w:w="48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广西金柳律师事务所</w:t>
            </w:r>
            <w:r>
              <w:t xml:space="preserve"> </w:t>
            </w: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投标报价（下浮系数）（含税）（%）</w:t>
            </w:r>
            <w: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10</w:t>
            </w:r>
            <w:r>
              <w:t xml:space="preserve"> </w:t>
            </w:r>
          </w:p>
        </w:tc>
        <w:tc>
          <w:tcPr>
            <w:tcW w:w="142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10</w:t>
            </w:r>
            <w:r>
              <w:t xml:space="preserve"> </w:t>
            </w:r>
          </w:p>
        </w:tc>
        <w:tc>
          <w:tcPr>
            <w:tcW w:w="235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1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4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45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8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税率（%）</w:t>
            </w:r>
            <w:r>
              <w:t xml:space="preserve"> </w:t>
            </w:r>
          </w:p>
        </w:tc>
        <w:tc>
          <w:tcPr>
            <w:tcW w:w="69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6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</w:t>
            </w:r>
            <w:r>
              <w:t xml:space="preserve"> </w:t>
            </w:r>
          </w:p>
        </w:tc>
        <w:tc>
          <w:tcPr>
            <w:tcW w:w="48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国浩律师（南宁）事务所</w:t>
            </w:r>
            <w:r>
              <w:t xml:space="preserve"> </w:t>
            </w: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投标报价（下浮系数）（含税）（%）</w:t>
            </w:r>
            <w: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40</w:t>
            </w:r>
            <w:r>
              <w:t xml:space="preserve"> </w:t>
            </w:r>
          </w:p>
        </w:tc>
        <w:tc>
          <w:tcPr>
            <w:tcW w:w="142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40</w:t>
            </w:r>
            <w:r>
              <w:t xml:space="preserve"> </w:t>
            </w:r>
          </w:p>
        </w:tc>
        <w:tc>
          <w:tcPr>
            <w:tcW w:w="235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20</w:t>
            </w:r>
            <w:r>
              <w:t xml:space="preserve"> </w:t>
            </w:r>
          </w:p>
        </w:tc>
        <w:tc>
          <w:tcPr>
            <w:tcW w:w="1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20</w:t>
            </w:r>
            <w:r>
              <w:t xml:space="preserve"> </w:t>
            </w:r>
          </w:p>
        </w:tc>
        <w:tc>
          <w:tcPr>
            <w:tcW w:w="4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40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8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税率（%）</w:t>
            </w:r>
            <w:r>
              <w:t xml:space="preserve"> </w:t>
            </w:r>
          </w:p>
        </w:tc>
        <w:tc>
          <w:tcPr>
            <w:tcW w:w="69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6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4</w:t>
            </w:r>
            <w:r>
              <w:t xml:space="preserve"> </w:t>
            </w:r>
          </w:p>
        </w:tc>
        <w:tc>
          <w:tcPr>
            <w:tcW w:w="48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广西广正大律师事务所</w:t>
            </w:r>
            <w:r>
              <w:t xml:space="preserve"> </w:t>
            </w: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投标报价（下浮系数）（含税）（%）</w:t>
            </w:r>
            <w: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142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235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1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4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8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税率（%）</w:t>
            </w:r>
            <w:r>
              <w:t xml:space="preserve"> </w:t>
            </w:r>
          </w:p>
        </w:tc>
        <w:tc>
          <w:tcPr>
            <w:tcW w:w="69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6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5</w:t>
            </w:r>
            <w:r>
              <w:t xml:space="preserve"> </w:t>
            </w:r>
          </w:p>
        </w:tc>
        <w:tc>
          <w:tcPr>
            <w:tcW w:w="48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广西万益（柳州）律师事务所</w:t>
            </w:r>
            <w:r>
              <w:t xml:space="preserve"> </w:t>
            </w: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投标报价（下浮系数）（含税）（%）</w:t>
            </w:r>
            <w:r>
              <w:t xml:space="preserve"> </w:t>
            </w:r>
          </w:p>
        </w:tc>
        <w:tc>
          <w:tcPr>
            <w:tcW w:w="1534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142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235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119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  <w:tc>
          <w:tcPr>
            <w:tcW w:w="4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30</w:t>
            </w:r>
            <w: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259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8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9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税率（%）</w:t>
            </w:r>
            <w:r>
              <w:t xml:space="preserve"> </w:t>
            </w:r>
          </w:p>
        </w:tc>
        <w:tc>
          <w:tcPr>
            <w:tcW w:w="69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widowControl/>
              <w:suppressLineNumbers w:val="0"/>
              <w:spacing w:before="100" w:beforeAutospacing="1" w:after="100" w:afterAutospacing="1"/>
              <w:ind w:left="0" w:right="0"/>
            </w:pPr>
            <w:r>
              <w:rPr>
                <w:rStyle w:val="7"/>
              </w:rPr>
              <w:t>1</w:t>
            </w:r>
            <w:r>
              <w:t xml:space="preserve"> 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92433B"/>
    <w:rsid w:val="1C9F676F"/>
    <w:rsid w:val="2792433B"/>
    <w:rsid w:val="30E6472C"/>
    <w:rsid w:val="3ECB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2"/>
    <w:basedOn w:val="1"/>
    <w:next w:val="1"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uiPriority w:val="0"/>
    <w:pPr>
      <w:widowControl/>
    </w:pPr>
    <w:rPr>
      <w:rFonts w:ascii="仿宋_GB2312" w:hAnsi="宋体" w:eastAsia="仿宋_GB2312" w:cs="宋体"/>
      <w:kern w:val="0"/>
      <w:sz w:val="32"/>
      <w:szCs w:val="32"/>
    </w:rPr>
  </w:style>
  <w:style w:type="paragraph" w:customStyle="1" w:styleId="6">
    <w:name w:val="p8"/>
    <w:basedOn w:val="1"/>
    <w:uiPriority w:val="0"/>
    <w:pPr>
      <w:jc w:val="center"/>
    </w:pPr>
    <w:rPr>
      <w:rFonts w:hint="eastAsia" w:ascii="仿宋" w:hAnsi="仿宋" w:eastAsia="仿宋" w:cs="仿宋"/>
      <w:kern w:val="0"/>
      <w:sz w:val="20"/>
      <w:szCs w:val="20"/>
      <w:lang w:val="en-US" w:eastAsia="zh-CN" w:bidi="ar"/>
    </w:rPr>
  </w:style>
  <w:style w:type="character" w:customStyle="1" w:styleId="7">
    <w:name w:val="s31"/>
    <w:basedOn w:val="4"/>
    <w:uiPriority w:val="0"/>
    <w:rPr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2025-03-25T02:22:00Z</dcterms:created>
  <dc:creator>杨文欣</dc:creator>
  <cp:lastModifiedBy>杨文欣</cp:lastModifiedBy>
  <dcterms:modified xsi:type="dcterms:W3CDTF">2025-03-25T02:22:31Z</dcterms:modified>
  <dc:title>最终价格： 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