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afterLines="50" w:line="460" w:lineRule="exact"/>
        <w:rPr>
          <w:rFonts w:ascii="宋体" w:hAnsi="宋体"/>
          <w:sz w:val="44"/>
          <w:szCs w:val="44"/>
        </w:rPr>
      </w:pPr>
    </w:p>
    <w:p>
      <w:pPr>
        <w:spacing w:line="360" w:lineRule="auto"/>
        <w:ind w:left="-420" w:leftChars="-200"/>
        <w:jc w:val="center"/>
        <w:rPr>
          <w:rFonts w:hint="eastAsia" w:ascii="宋体" w:hAnsi="宋体"/>
          <w:b/>
          <w:bCs/>
          <w:color w:val="FF0000"/>
          <w:sz w:val="44"/>
          <w:szCs w:val="44"/>
          <w:lang w:val="en-US" w:eastAsia="zh-CN"/>
        </w:rPr>
      </w:pPr>
      <w:r>
        <w:rPr>
          <w:rFonts w:hint="eastAsia" w:ascii="宋体" w:hAnsi="宋体"/>
          <w:b/>
          <w:bCs/>
          <w:color w:val="FF0000"/>
          <w:sz w:val="44"/>
          <w:szCs w:val="44"/>
        </w:rPr>
        <w:t xml:space="preserve"> </w:t>
      </w:r>
      <w:r>
        <w:rPr>
          <w:rFonts w:hint="eastAsia" w:ascii="宋体" w:hAnsi="宋体"/>
          <w:b/>
          <w:bCs/>
          <w:color w:val="auto"/>
          <w:sz w:val="44"/>
          <w:szCs w:val="44"/>
          <w:lang w:val="en-US" w:eastAsia="zh-CN"/>
        </w:rPr>
        <w:t>中国工商银行亳州分行</w:t>
      </w:r>
      <w:r>
        <w:rPr>
          <w:rFonts w:hint="eastAsia" w:ascii="宋体" w:hAnsi="宋体"/>
          <w:b/>
          <w:bCs/>
          <w:color w:val="auto"/>
          <w:sz w:val="44"/>
          <w:szCs w:val="44"/>
          <w:lang w:val="zh-CN" w:eastAsia="zh-CN"/>
        </w:rPr>
        <w:t>亳州市人力资源和社会保障局会议室系统改造</w:t>
      </w:r>
      <w:r>
        <w:rPr>
          <w:rFonts w:hint="eastAsia" w:ascii="宋体" w:hAnsi="宋体"/>
          <w:b/>
          <w:bCs/>
          <w:color w:val="auto"/>
          <w:sz w:val="44"/>
          <w:szCs w:val="44"/>
          <w:lang w:val="en-US" w:eastAsia="zh-CN"/>
        </w:rPr>
        <w:t>合作</w:t>
      </w:r>
      <w:r>
        <w:rPr>
          <w:rFonts w:hint="eastAsia" w:ascii="宋体" w:hAnsi="宋体"/>
          <w:b/>
          <w:bCs/>
          <w:color w:val="auto"/>
          <w:sz w:val="44"/>
          <w:szCs w:val="44"/>
          <w:lang w:val="zh-CN" w:eastAsia="zh-CN"/>
        </w:rPr>
        <w:t>项目</w:t>
      </w:r>
    </w:p>
    <w:p>
      <w:pPr>
        <w:spacing w:line="360" w:lineRule="auto"/>
        <w:ind w:left="-420" w:leftChars="-200"/>
        <w:jc w:val="center"/>
        <w:rPr>
          <w:rFonts w:ascii="宋体" w:hAnsi="宋体"/>
          <w:b/>
          <w:bCs/>
          <w:sz w:val="44"/>
          <w:szCs w:val="44"/>
        </w:rPr>
      </w:pPr>
    </w:p>
    <w:p>
      <w:pPr>
        <w:spacing w:line="460" w:lineRule="exact"/>
        <w:jc w:val="center"/>
        <w:rPr>
          <w:rFonts w:ascii="宋体" w:hAnsi="宋体"/>
          <w:sz w:val="36"/>
          <w:szCs w:val="36"/>
        </w:rPr>
      </w:pPr>
    </w:p>
    <w:p>
      <w:pPr>
        <w:spacing w:line="460" w:lineRule="exact"/>
        <w:jc w:val="center"/>
        <w:rPr>
          <w:rFonts w:ascii="宋体" w:hAnsi="宋体"/>
          <w:sz w:val="36"/>
          <w:szCs w:val="36"/>
        </w:rPr>
      </w:pPr>
    </w:p>
    <w:p>
      <w:pPr>
        <w:jc w:val="center"/>
        <w:rPr>
          <w:rFonts w:ascii="宋体" w:hAnsi="宋体"/>
          <w:sz w:val="84"/>
          <w:szCs w:val="84"/>
        </w:rPr>
      </w:pPr>
      <w:r>
        <w:rPr>
          <w:rFonts w:hint="eastAsia" w:ascii="宋体" w:hAnsi="宋体"/>
          <w:sz w:val="84"/>
          <w:szCs w:val="84"/>
        </w:rPr>
        <w:t>招 标 文 件</w:t>
      </w:r>
    </w:p>
    <w:p>
      <w:pPr>
        <w:rPr>
          <w:rFonts w:ascii="宋体" w:hAnsi="宋体"/>
          <w:sz w:val="32"/>
          <w:szCs w:val="32"/>
          <w:lang w:bidi="he-IL"/>
        </w:rPr>
      </w:pPr>
    </w:p>
    <w:p>
      <w:pPr>
        <w:jc w:val="center"/>
      </w:pPr>
    </w:p>
    <w:p>
      <w:pPr>
        <w:pStyle w:val="23"/>
        <w:adjustRightInd w:val="0"/>
        <w:snapToGrid w:val="0"/>
        <w:spacing w:before="120" w:beforeLines="50" w:after="120" w:afterLines="50" w:line="460" w:lineRule="exact"/>
        <w:jc w:val="center"/>
        <w:rPr>
          <w:rFonts w:ascii="宋体" w:hAnsi="宋体" w:eastAsia="宋体"/>
          <w:sz w:val="32"/>
          <w:szCs w:val="32"/>
          <w:highlight w:val="yellow"/>
        </w:rPr>
      </w:pPr>
      <w:r>
        <w:rPr>
          <w:rFonts w:hint="eastAsia" w:ascii="宋体" w:hAnsi="宋体" w:eastAsia="宋体"/>
          <w:sz w:val="32"/>
          <w:szCs w:val="32"/>
        </w:rPr>
        <w:t>招标编号：WKZB2212AHJB12252</w:t>
      </w:r>
    </w:p>
    <w:p>
      <w:pPr>
        <w:adjustRightInd w:val="0"/>
        <w:snapToGrid w:val="0"/>
        <w:spacing w:before="48" w:beforeLines="20" w:after="48" w:afterLines="20" w:line="460" w:lineRule="exact"/>
        <w:jc w:val="center"/>
        <w:rPr>
          <w:rFonts w:ascii="宋体" w:hAnsi="宋体"/>
          <w:sz w:val="32"/>
          <w:szCs w:val="32"/>
        </w:rPr>
      </w:pPr>
    </w:p>
    <w:p>
      <w:pPr>
        <w:spacing w:line="460" w:lineRule="exact"/>
        <w:rPr>
          <w:rFonts w:ascii="宋体" w:hAnsi="宋体"/>
          <w:kern w:val="0"/>
          <w:sz w:val="24"/>
        </w:rPr>
      </w:pPr>
    </w:p>
    <w:p>
      <w:pPr>
        <w:spacing w:line="460" w:lineRule="exact"/>
        <w:rPr>
          <w:rFonts w:ascii="宋体" w:hAnsi="宋体"/>
          <w:kern w:val="0"/>
          <w:sz w:val="24"/>
        </w:rPr>
      </w:pPr>
    </w:p>
    <w:p>
      <w:pPr>
        <w:spacing w:line="460" w:lineRule="exact"/>
        <w:rPr>
          <w:rFonts w:ascii="宋体" w:hAnsi="宋体"/>
          <w:kern w:val="0"/>
          <w:sz w:val="24"/>
        </w:rPr>
      </w:pPr>
    </w:p>
    <w:p>
      <w:pPr>
        <w:spacing w:line="460" w:lineRule="exact"/>
        <w:rPr>
          <w:rFonts w:ascii="宋体" w:hAnsi="宋体"/>
          <w:kern w:val="0"/>
          <w:sz w:val="24"/>
        </w:rPr>
      </w:pPr>
    </w:p>
    <w:p>
      <w:pPr>
        <w:adjustRightInd w:val="0"/>
        <w:snapToGrid w:val="0"/>
        <w:spacing w:before="48" w:beforeLines="20" w:after="48" w:afterLines="20" w:line="460" w:lineRule="exact"/>
        <w:rPr>
          <w:rFonts w:ascii="宋体" w:hAnsi="宋体"/>
          <w:sz w:val="32"/>
        </w:rPr>
      </w:pPr>
    </w:p>
    <w:p>
      <w:pPr>
        <w:adjustRightInd w:val="0"/>
        <w:snapToGrid w:val="0"/>
        <w:spacing w:before="48" w:beforeLines="20" w:after="48" w:afterLines="20" w:line="460" w:lineRule="exact"/>
        <w:jc w:val="center"/>
        <w:rPr>
          <w:rFonts w:ascii="宋体" w:hAnsi="宋体"/>
          <w:sz w:val="18"/>
          <w:szCs w:val="18"/>
        </w:rPr>
      </w:pPr>
    </w:p>
    <w:p>
      <w:pPr>
        <w:spacing w:line="480" w:lineRule="auto"/>
        <w:ind w:firstLine="960" w:firstLineChars="300"/>
        <w:rPr>
          <w:rFonts w:ascii="宋体" w:hAnsi="宋体"/>
          <w:spacing w:val="40"/>
          <w:sz w:val="32"/>
          <w:szCs w:val="32"/>
          <w:u w:val="single"/>
        </w:rPr>
      </w:pPr>
      <w:r>
        <w:rPr>
          <w:rFonts w:hint="eastAsia" w:ascii="宋体" w:hAnsi="宋体"/>
          <w:sz w:val="32"/>
          <w:szCs w:val="32"/>
        </w:rPr>
        <w:t>招   标   人：</w:t>
      </w:r>
      <w:r>
        <w:rPr>
          <w:rFonts w:hint="eastAsia" w:ascii="宋体" w:hAnsi="宋体"/>
          <w:sz w:val="32"/>
          <w:szCs w:val="32"/>
          <w:u w:val="single"/>
        </w:rPr>
        <w:t>中国工商银行股份有限公司</w:t>
      </w:r>
      <w:r>
        <w:rPr>
          <w:rFonts w:hint="eastAsia" w:ascii="宋体" w:hAnsi="宋体"/>
          <w:sz w:val="32"/>
          <w:szCs w:val="32"/>
          <w:u w:val="single"/>
          <w:lang w:val="en-US" w:eastAsia="zh-CN"/>
        </w:rPr>
        <w:t>亳州</w:t>
      </w:r>
      <w:r>
        <w:rPr>
          <w:rFonts w:hint="eastAsia" w:ascii="宋体" w:hAnsi="宋体"/>
          <w:sz w:val="32"/>
          <w:szCs w:val="32"/>
          <w:u w:val="single"/>
        </w:rPr>
        <w:t>分行</w:t>
      </w:r>
    </w:p>
    <w:p>
      <w:pPr>
        <w:spacing w:line="480" w:lineRule="auto"/>
        <w:ind w:firstLine="944" w:firstLineChars="295"/>
        <w:rPr>
          <w:rFonts w:ascii="宋体" w:hAnsi="宋体"/>
          <w:sz w:val="32"/>
          <w:szCs w:val="32"/>
        </w:rPr>
      </w:pPr>
      <w:r>
        <w:rPr>
          <w:rFonts w:hint="eastAsia" w:ascii="宋体" w:hAnsi="宋体"/>
          <w:sz w:val="32"/>
          <w:szCs w:val="32"/>
        </w:rPr>
        <w:t>招标代理机构：</w:t>
      </w:r>
      <w:r>
        <w:rPr>
          <w:rFonts w:hint="eastAsia" w:ascii="宋体" w:hAnsi="宋体"/>
          <w:sz w:val="32"/>
          <w:szCs w:val="32"/>
          <w:u w:val="single"/>
        </w:rPr>
        <w:t>五矿国际招标有限责任公司</w:t>
      </w:r>
    </w:p>
    <w:p>
      <w:pPr>
        <w:spacing w:line="480" w:lineRule="auto"/>
        <w:ind w:firstLine="2720" w:firstLineChars="850"/>
        <w:rPr>
          <w:rFonts w:ascii="宋体" w:hAnsi="宋体"/>
          <w:sz w:val="32"/>
          <w:szCs w:val="32"/>
        </w:rPr>
      </w:pPr>
    </w:p>
    <w:p>
      <w:pPr>
        <w:spacing w:line="480" w:lineRule="auto"/>
        <w:ind w:firstLine="3230" w:firstLineChars="850"/>
        <w:rPr>
          <w:rFonts w:ascii="宋体" w:hAnsi="宋体"/>
          <w:sz w:val="32"/>
          <w:szCs w:val="32"/>
        </w:rPr>
      </w:pPr>
      <w:r>
        <w:rPr>
          <w:rFonts w:hint="eastAsia" w:ascii="宋体" w:hAnsi="宋体"/>
          <w:spacing w:val="30"/>
          <w:sz w:val="32"/>
          <w:szCs w:val="32"/>
        </w:rPr>
        <w:t>二○二二</w:t>
      </w:r>
      <w:r>
        <w:rPr>
          <w:rFonts w:hint="eastAsia" w:ascii="宋体" w:hAnsi="宋体"/>
          <w:sz w:val="32"/>
          <w:szCs w:val="32"/>
        </w:rPr>
        <w:t>年十</w:t>
      </w:r>
      <w:r>
        <w:rPr>
          <w:rFonts w:hint="eastAsia" w:ascii="宋体" w:hAnsi="宋体"/>
          <w:sz w:val="32"/>
          <w:szCs w:val="32"/>
          <w:lang w:val="en-US" w:eastAsia="zh-CN"/>
        </w:rPr>
        <w:t>二</w:t>
      </w:r>
      <w:r>
        <w:rPr>
          <w:rFonts w:hint="eastAsia" w:ascii="宋体" w:hAnsi="宋体"/>
          <w:sz w:val="32"/>
          <w:szCs w:val="32"/>
        </w:rPr>
        <w:t>月</w:t>
      </w:r>
    </w:p>
    <w:p/>
    <w:p/>
    <w:p>
      <w:pPr>
        <w:jc w:val="center"/>
      </w:pPr>
    </w:p>
    <w:p>
      <w:pPr>
        <w:jc w:val="center"/>
        <w:rPr>
          <w:b/>
          <w:sz w:val="52"/>
          <w:szCs w:val="52"/>
        </w:rPr>
      </w:pPr>
    </w:p>
    <w:p>
      <w:pPr>
        <w:jc w:val="center"/>
        <w:rPr>
          <w:b/>
          <w:sz w:val="52"/>
          <w:szCs w:val="52"/>
        </w:rPr>
      </w:pPr>
    </w:p>
    <w:p>
      <w:pPr>
        <w:jc w:val="center"/>
        <w:rPr>
          <w:b/>
          <w:sz w:val="52"/>
          <w:szCs w:val="52"/>
        </w:rPr>
      </w:pPr>
      <w:r>
        <w:rPr>
          <w:rFonts w:hint="eastAsia"/>
          <w:b/>
          <w:sz w:val="52"/>
          <w:szCs w:val="52"/>
        </w:rPr>
        <w:t>目   录</w:t>
      </w:r>
    </w:p>
    <w:p>
      <w:pPr>
        <w:adjustRightInd w:val="0"/>
        <w:snapToGrid w:val="0"/>
        <w:spacing w:line="460" w:lineRule="exact"/>
        <w:jc w:val="center"/>
        <w:rPr>
          <w:rFonts w:ascii="宋体" w:hAnsi="宋体"/>
          <w:sz w:val="30"/>
          <w:szCs w:val="30"/>
        </w:rPr>
      </w:pPr>
    </w:p>
    <w:p>
      <w:pPr>
        <w:adjustRightInd w:val="0"/>
        <w:snapToGrid w:val="0"/>
        <w:spacing w:line="460" w:lineRule="exact"/>
        <w:rPr>
          <w:rFonts w:ascii="宋体" w:hAnsi="宋体"/>
          <w:sz w:val="30"/>
          <w:szCs w:val="30"/>
        </w:rPr>
      </w:pPr>
    </w:p>
    <w:p>
      <w:pPr>
        <w:pStyle w:val="29"/>
        <w:tabs>
          <w:tab w:val="left" w:pos="1050"/>
          <w:tab w:val="right" w:leader="dot" w:pos="8660"/>
        </w:tabs>
        <w:spacing w:line="480" w:lineRule="auto"/>
        <w:rPr>
          <w:rFonts w:ascii="Calibri" w:hAnsi="Calibri"/>
          <w:sz w:val="30"/>
          <w:szCs w:val="30"/>
        </w:rPr>
      </w:pPr>
      <w:r>
        <w:rPr>
          <w:rFonts w:ascii="宋体" w:hAnsi="宋体"/>
          <w:sz w:val="32"/>
          <w:szCs w:val="32"/>
        </w:rPr>
        <w:fldChar w:fldCharType="begin"/>
      </w:r>
      <w:r>
        <w:rPr>
          <w:rFonts w:ascii="宋体" w:hAnsi="宋体"/>
          <w:sz w:val="32"/>
          <w:szCs w:val="32"/>
        </w:rPr>
        <w:instrText xml:space="preserve"> </w:instrText>
      </w:r>
      <w:r>
        <w:rPr>
          <w:rFonts w:hint="eastAsia" w:ascii="宋体" w:hAnsi="宋体"/>
          <w:sz w:val="32"/>
          <w:szCs w:val="32"/>
        </w:rPr>
        <w:instrText xml:space="preserve">TOC \o "1-3" \h \z \u</w:instrText>
      </w:r>
      <w:r>
        <w:rPr>
          <w:rFonts w:ascii="宋体" w:hAnsi="宋体"/>
          <w:sz w:val="32"/>
          <w:szCs w:val="32"/>
        </w:rPr>
        <w:instrText xml:space="preserve"> </w:instrText>
      </w:r>
      <w:r>
        <w:rPr>
          <w:rFonts w:ascii="宋体" w:hAnsi="宋体"/>
          <w:sz w:val="32"/>
          <w:szCs w:val="32"/>
        </w:rPr>
        <w:fldChar w:fldCharType="separate"/>
      </w:r>
      <w:r>
        <w:fldChar w:fldCharType="begin"/>
      </w:r>
      <w:r>
        <w:instrText xml:space="preserve"> HYPERLINK \l "_Toc484070267" </w:instrText>
      </w:r>
      <w:r>
        <w:fldChar w:fldCharType="separate"/>
      </w:r>
      <w:r>
        <w:rPr>
          <w:rStyle w:val="46"/>
          <w:rFonts w:hint="eastAsia" w:ascii="宋体" w:hAnsi="宋体"/>
          <w:color w:val="auto"/>
          <w:kern w:val="0"/>
          <w:sz w:val="30"/>
          <w:szCs w:val="30"/>
          <w:lang w:bidi="he-IL"/>
        </w:rPr>
        <w:t>第一章</w:t>
      </w:r>
      <w:r>
        <w:rPr>
          <w:rFonts w:ascii="Calibri" w:hAnsi="Calibri"/>
          <w:sz w:val="30"/>
          <w:szCs w:val="30"/>
        </w:rPr>
        <w:tab/>
      </w:r>
      <w:r>
        <w:rPr>
          <w:rFonts w:hint="eastAsia" w:ascii="Calibri" w:hAnsi="Calibri"/>
          <w:sz w:val="30"/>
          <w:szCs w:val="30"/>
        </w:rPr>
        <w:t xml:space="preserve"> </w:t>
      </w:r>
      <w:r>
        <w:rPr>
          <w:rStyle w:val="46"/>
          <w:rFonts w:hint="eastAsia" w:ascii="宋体" w:hAnsi="宋体"/>
          <w:color w:val="auto"/>
          <w:kern w:val="0"/>
          <w:sz w:val="30"/>
          <w:szCs w:val="30"/>
          <w:lang w:bidi="he-IL"/>
        </w:rPr>
        <w:t>招标公告</w:t>
      </w:r>
      <w:r>
        <w:rPr>
          <w:sz w:val="30"/>
          <w:szCs w:val="30"/>
        </w:rPr>
        <w:tab/>
      </w:r>
      <w:r>
        <w:rPr>
          <w:sz w:val="30"/>
          <w:szCs w:val="30"/>
        </w:rPr>
        <w:fldChar w:fldCharType="begin"/>
      </w:r>
      <w:r>
        <w:rPr>
          <w:sz w:val="30"/>
          <w:szCs w:val="30"/>
        </w:rPr>
        <w:instrText xml:space="preserve"> PAGEREF _Toc484070267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29"/>
        <w:tabs>
          <w:tab w:val="right" w:leader="dot" w:pos="8660"/>
        </w:tabs>
        <w:spacing w:line="480" w:lineRule="auto"/>
        <w:rPr>
          <w:rFonts w:ascii="Calibri" w:hAnsi="Calibri"/>
          <w:sz w:val="30"/>
          <w:szCs w:val="30"/>
        </w:rPr>
      </w:pPr>
      <w:r>
        <w:fldChar w:fldCharType="begin"/>
      </w:r>
      <w:r>
        <w:instrText xml:space="preserve"> HYPERLINK \l "_Toc484070270" </w:instrText>
      </w:r>
      <w:r>
        <w:fldChar w:fldCharType="separate"/>
      </w:r>
      <w:r>
        <w:rPr>
          <w:rStyle w:val="46"/>
          <w:rFonts w:hint="eastAsia" w:ascii="宋体" w:hAnsi="宋体"/>
          <w:color w:val="auto"/>
          <w:kern w:val="0"/>
          <w:sz w:val="30"/>
          <w:szCs w:val="30"/>
          <w:lang w:bidi="he-IL"/>
        </w:rPr>
        <w:t>第二章</w:t>
      </w:r>
      <w:r>
        <w:rPr>
          <w:rStyle w:val="46"/>
          <w:rFonts w:ascii="宋体" w:hAnsi="宋体"/>
          <w:color w:val="auto"/>
          <w:kern w:val="0"/>
          <w:sz w:val="30"/>
          <w:szCs w:val="30"/>
          <w:lang w:bidi="he-IL"/>
        </w:rPr>
        <w:t xml:space="preserve">  </w:t>
      </w:r>
      <w:r>
        <w:rPr>
          <w:rStyle w:val="46"/>
          <w:rFonts w:hint="eastAsia" w:ascii="宋体" w:hAnsi="宋体"/>
          <w:color w:val="auto"/>
          <w:kern w:val="0"/>
          <w:sz w:val="30"/>
          <w:szCs w:val="30"/>
          <w:lang w:bidi="he-IL"/>
        </w:rPr>
        <w:t>投标人须知</w:t>
      </w:r>
      <w:r>
        <w:rPr>
          <w:sz w:val="30"/>
          <w:szCs w:val="30"/>
        </w:rPr>
        <w:tab/>
      </w:r>
      <w:r>
        <w:rPr>
          <w:sz w:val="30"/>
          <w:szCs w:val="30"/>
        </w:rPr>
        <w:fldChar w:fldCharType="begin"/>
      </w:r>
      <w:r>
        <w:rPr>
          <w:sz w:val="30"/>
          <w:szCs w:val="30"/>
        </w:rPr>
        <w:instrText xml:space="preserve"> PAGEREF _Toc484070270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29"/>
        <w:tabs>
          <w:tab w:val="right" w:leader="dot" w:pos="8660"/>
        </w:tabs>
        <w:spacing w:line="480" w:lineRule="auto"/>
        <w:rPr>
          <w:rFonts w:ascii="Calibri" w:hAnsi="Calibri"/>
          <w:sz w:val="30"/>
          <w:szCs w:val="30"/>
        </w:rPr>
      </w:pPr>
      <w:r>
        <w:fldChar w:fldCharType="begin"/>
      </w:r>
      <w:r>
        <w:instrText xml:space="preserve"> HYPERLINK \l "_Toc484070271" </w:instrText>
      </w:r>
      <w:r>
        <w:fldChar w:fldCharType="separate"/>
      </w:r>
      <w:r>
        <w:rPr>
          <w:rStyle w:val="46"/>
          <w:rFonts w:hint="eastAsia" w:ascii="宋体" w:hAnsi="宋体"/>
          <w:color w:val="auto"/>
          <w:kern w:val="0"/>
          <w:sz w:val="30"/>
          <w:szCs w:val="30"/>
          <w:lang w:bidi="he-IL"/>
        </w:rPr>
        <w:t>第三章</w:t>
      </w:r>
      <w:r>
        <w:rPr>
          <w:rStyle w:val="46"/>
          <w:rFonts w:ascii="宋体" w:hAnsi="宋体"/>
          <w:color w:val="auto"/>
          <w:kern w:val="0"/>
          <w:sz w:val="30"/>
          <w:szCs w:val="30"/>
          <w:lang w:bidi="he-IL"/>
        </w:rPr>
        <w:t xml:space="preserve">  </w:t>
      </w:r>
      <w:r>
        <w:rPr>
          <w:rStyle w:val="46"/>
          <w:rFonts w:hint="eastAsia" w:ascii="宋体" w:hAnsi="宋体"/>
          <w:color w:val="auto"/>
          <w:kern w:val="0"/>
          <w:sz w:val="30"/>
          <w:szCs w:val="30"/>
          <w:lang w:bidi="he-IL"/>
        </w:rPr>
        <w:t>合同条款</w:t>
      </w:r>
      <w:r>
        <w:rPr>
          <w:sz w:val="30"/>
          <w:szCs w:val="30"/>
        </w:rPr>
        <w:tab/>
      </w:r>
      <w:r>
        <w:rPr>
          <w:sz w:val="30"/>
          <w:szCs w:val="30"/>
        </w:rPr>
        <w:fldChar w:fldCharType="begin"/>
      </w:r>
      <w:r>
        <w:rPr>
          <w:sz w:val="30"/>
          <w:szCs w:val="30"/>
        </w:rPr>
        <w:instrText xml:space="preserve"> PAGEREF _Toc484070271 \h </w:instrText>
      </w:r>
      <w:r>
        <w:rPr>
          <w:sz w:val="30"/>
          <w:szCs w:val="30"/>
        </w:rPr>
        <w:fldChar w:fldCharType="separate"/>
      </w:r>
      <w:r>
        <w:rPr>
          <w:sz w:val="30"/>
          <w:szCs w:val="30"/>
        </w:rPr>
        <w:t>25</w:t>
      </w:r>
      <w:r>
        <w:rPr>
          <w:sz w:val="30"/>
          <w:szCs w:val="30"/>
        </w:rPr>
        <w:fldChar w:fldCharType="end"/>
      </w:r>
      <w:r>
        <w:rPr>
          <w:sz w:val="30"/>
          <w:szCs w:val="30"/>
        </w:rPr>
        <w:fldChar w:fldCharType="end"/>
      </w:r>
    </w:p>
    <w:p>
      <w:pPr>
        <w:pStyle w:val="29"/>
        <w:tabs>
          <w:tab w:val="right" w:leader="dot" w:pos="8660"/>
        </w:tabs>
        <w:spacing w:line="480" w:lineRule="auto"/>
        <w:rPr>
          <w:rFonts w:ascii="Calibri" w:hAnsi="Calibri"/>
          <w:sz w:val="30"/>
          <w:szCs w:val="30"/>
        </w:rPr>
      </w:pPr>
      <w:r>
        <w:fldChar w:fldCharType="begin"/>
      </w:r>
      <w:r>
        <w:instrText xml:space="preserve"> HYPERLINK \l "_Toc484070272" </w:instrText>
      </w:r>
      <w:r>
        <w:fldChar w:fldCharType="separate"/>
      </w:r>
      <w:r>
        <w:rPr>
          <w:rStyle w:val="46"/>
          <w:rFonts w:hint="eastAsia" w:ascii="宋体" w:hAnsi="宋体"/>
          <w:color w:val="auto"/>
          <w:kern w:val="0"/>
          <w:sz w:val="30"/>
          <w:szCs w:val="30"/>
          <w:lang w:bidi="he-IL"/>
        </w:rPr>
        <w:t>第四章</w:t>
      </w:r>
      <w:r>
        <w:rPr>
          <w:rStyle w:val="46"/>
          <w:rFonts w:ascii="宋体" w:hAnsi="宋体"/>
          <w:color w:val="auto"/>
          <w:kern w:val="0"/>
          <w:sz w:val="30"/>
          <w:szCs w:val="30"/>
          <w:lang w:bidi="he-IL"/>
        </w:rPr>
        <w:t xml:space="preserve">  </w:t>
      </w:r>
      <w:r>
        <w:rPr>
          <w:rStyle w:val="46"/>
          <w:rFonts w:hint="eastAsia" w:ascii="宋体" w:hAnsi="宋体"/>
          <w:color w:val="auto"/>
          <w:kern w:val="0"/>
          <w:sz w:val="30"/>
          <w:szCs w:val="30"/>
          <w:lang w:bidi="he-IL"/>
        </w:rPr>
        <w:t>技术规格标准及相关要求</w:t>
      </w:r>
      <w:r>
        <w:rPr>
          <w:sz w:val="30"/>
          <w:szCs w:val="30"/>
        </w:rPr>
        <w:tab/>
      </w:r>
      <w:r>
        <w:rPr>
          <w:rFonts w:hint="eastAsia"/>
          <w:sz w:val="30"/>
          <w:szCs w:val="30"/>
        </w:rPr>
        <w:t>3</w:t>
      </w:r>
      <w:r>
        <w:rPr>
          <w:rFonts w:hint="eastAsia"/>
          <w:sz w:val="30"/>
          <w:szCs w:val="30"/>
        </w:rPr>
        <w:fldChar w:fldCharType="end"/>
      </w:r>
      <w:r>
        <w:rPr>
          <w:rFonts w:hint="eastAsia"/>
          <w:sz w:val="30"/>
          <w:szCs w:val="30"/>
        </w:rPr>
        <w:t>0</w:t>
      </w:r>
    </w:p>
    <w:p>
      <w:pPr>
        <w:pStyle w:val="29"/>
        <w:tabs>
          <w:tab w:val="right" w:leader="dot" w:pos="8660"/>
        </w:tabs>
        <w:spacing w:line="480" w:lineRule="auto"/>
        <w:rPr>
          <w:rFonts w:ascii="Calibri" w:hAnsi="Calibri"/>
          <w:sz w:val="30"/>
          <w:szCs w:val="30"/>
        </w:rPr>
      </w:pPr>
      <w:r>
        <w:fldChar w:fldCharType="begin"/>
      </w:r>
      <w:r>
        <w:instrText xml:space="preserve"> HYPERLINK \l "_Toc484070273" </w:instrText>
      </w:r>
      <w:r>
        <w:fldChar w:fldCharType="separate"/>
      </w:r>
      <w:r>
        <w:rPr>
          <w:rStyle w:val="46"/>
          <w:rFonts w:hint="eastAsia" w:ascii="宋体" w:hAnsi="宋体"/>
          <w:color w:val="auto"/>
          <w:kern w:val="0"/>
          <w:sz w:val="30"/>
          <w:szCs w:val="30"/>
          <w:lang w:bidi="he-IL"/>
        </w:rPr>
        <w:t>第五章</w:t>
      </w:r>
      <w:r>
        <w:rPr>
          <w:rStyle w:val="46"/>
          <w:rFonts w:ascii="宋体" w:hAnsi="宋体"/>
          <w:color w:val="auto"/>
          <w:kern w:val="0"/>
          <w:sz w:val="30"/>
          <w:szCs w:val="30"/>
          <w:lang w:bidi="he-IL"/>
        </w:rPr>
        <w:t xml:space="preserve">  </w:t>
      </w:r>
      <w:r>
        <w:rPr>
          <w:rStyle w:val="46"/>
          <w:rFonts w:hint="eastAsia" w:ascii="宋体" w:hAnsi="宋体"/>
          <w:color w:val="auto"/>
          <w:kern w:val="0"/>
          <w:sz w:val="30"/>
          <w:szCs w:val="30"/>
          <w:lang w:bidi="he-IL"/>
        </w:rPr>
        <w:t>评标</w:t>
      </w:r>
      <w:bookmarkStart w:id="0" w:name="_Hlt484595150"/>
      <w:bookmarkStart w:id="1" w:name="_Hlt484595643"/>
      <w:r>
        <w:rPr>
          <w:rStyle w:val="46"/>
          <w:rFonts w:hint="eastAsia" w:ascii="宋体" w:hAnsi="宋体"/>
          <w:color w:val="auto"/>
          <w:kern w:val="0"/>
          <w:sz w:val="30"/>
          <w:szCs w:val="30"/>
          <w:lang w:bidi="he-IL"/>
        </w:rPr>
        <w:t>办</w:t>
      </w:r>
      <w:bookmarkEnd w:id="0"/>
      <w:bookmarkEnd w:id="1"/>
      <w:r>
        <w:rPr>
          <w:rStyle w:val="46"/>
          <w:rFonts w:hint="eastAsia" w:ascii="宋体" w:hAnsi="宋体"/>
          <w:color w:val="auto"/>
          <w:kern w:val="0"/>
          <w:sz w:val="30"/>
          <w:szCs w:val="30"/>
          <w:lang w:bidi="he-IL"/>
        </w:rPr>
        <w:t>法</w:t>
      </w:r>
      <w:r>
        <w:rPr>
          <w:sz w:val="30"/>
          <w:szCs w:val="30"/>
        </w:rPr>
        <w:tab/>
      </w:r>
      <w:r>
        <w:rPr>
          <w:rFonts w:hint="eastAsia"/>
          <w:sz w:val="30"/>
          <w:szCs w:val="30"/>
          <w:lang w:val="en-US" w:eastAsia="zh-CN"/>
        </w:rPr>
        <w:t>57</w:t>
      </w:r>
      <w:r>
        <w:rPr>
          <w:rFonts w:hint="eastAsia"/>
          <w:sz w:val="30"/>
          <w:szCs w:val="30"/>
        </w:rPr>
        <w:fldChar w:fldCharType="end"/>
      </w:r>
    </w:p>
    <w:p>
      <w:pPr>
        <w:pStyle w:val="29"/>
        <w:tabs>
          <w:tab w:val="right" w:leader="dot" w:pos="8660"/>
        </w:tabs>
        <w:spacing w:line="480" w:lineRule="auto"/>
        <w:rPr>
          <w:rFonts w:hint="eastAsia" w:ascii="Calibri" w:hAnsi="Calibri" w:eastAsia="宋体"/>
          <w:szCs w:val="22"/>
          <w:lang w:val="en-US" w:eastAsia="zh-CN"/>
        </w:rPr>
      </w:pPr>
      <w:r>
        <w:fldChar w:fldCharType="begin"/>
      </w:r>
      <w:r>
        <w:instrText xml:space="preserve"> HYPERLINK \l "_Toc484070274" </w:instrText>
      </w:r>
      <w:r>
        <w:fldChar w:fldCharType="separate"/>
      </w:r>
      <w:r>
        <w:rPr>
          <w:rStyle w:val="46"/>
          <w:rFonts w:hint="eastAsia" w:ascii="宋体" w:hAnsi="宋体"/>
          <w:color w:val="auto"/>
          <w:kern w:val="0"/>
          <w:sz w:val="30"/>
          <w:szCs w:val="30"/>
          <w:lang w:bidi="he-IL"/>
        </w:rPr>
        <w:t>第六章</w:t>
      </w:r>
      <w:r>
        <w:rPr>
          <w:rStyle w:val="46"/>
          <w:rFonts w:ascii="宋体" w:hAnsi="宋体"/>
          <w:color w:val="auto"/>
          <w:kern w:val="0"/>
          <w:sz w:val="30"/>
          <w:szCs w:val="30"/>
          <w:lang w:bidi="he-IL"/>
        </w:rPr>
        <w:t xml:space="preserve">  </w:t>
      </w:r>
      <w:r>
        <w:rPr>
          <w:rStyle w:val="46"/>
          <w:rFonts w:hint="eastAsia" w:ascii="宋体" w:hAnsi="宋体"/>
          <w:color w:val="auto"/>
          <w:kern w:val="0"/>
          <w:sz w:val="30"/>
          <w:szCs w:val="30"/>
          <w:lang w:bidi="he-IL"/>
        </w:rPr>
        <w:t>投标文</w:t>
      </w:r>
      <w:bookmarkStart w:id="2" w:name="_Hlt484607451"/>
      <w:r>
        <w:rPr>
          <w:rStyle w:val="46"/>
          <w:rFonts w:hint="eastAsia" w:ascii="宋体" w:hAnsi="宋体"/>
          <w:color w:val="auto"/>
          <w:kern w:val="0"/>
          <w:sz w:val="30"/>
          <w:szCs w:val="30"/>
          <w:lang w:bidi="he-IL"/>
        </w:rPr>
        <w:t>件</w:t>
      </w:r>
      <w:bookmarkEnd w:id="2"/>
      <w:r>
        <w:rPr>
          <w:rStyle w:val="46"/>
          <w:rFonts w:hint="eastAsia" w:ascii="宋体" w:hAnsi="宋体"/>
          <w:color w:val="auto"/>
          <w:kern w:val="0"/>
          <w:sz w:val="30"/>
          <w:szCs w:val="30"/>
          <w:lang w:bidi="he-IL"/>
        </w:rPr>
        <w:t>格式</w:t>
      </w:r>
      <w:r>
        <w:rPr>
          <w:sz w:val="30"/>
          <w:szCs w:val="30"/>
        </w:rPr>
        <w:tab/>
      </w:r>
      <w:r>
        <w:rPr>
          <w:rFonts w:hint="eastAsia"/>
          <w:sz w:val="30"/>
          <w:szCs w:val="30"/>
          <w:lang w:val="en-US" w:eastAsia="zh-CN"/>
        </w:rPr>
        <w:t>6</w:t>
      </w:r>
      <w:r>
        <w:rPr>
          <w:rFonts w:hint="eastAsia"/>
          <w:sz w:val="30"/>
          <w:szCs w:val="30"/>
        </w:rPr>
        <w:fldChar w:fldCharType="end"/>
      </w:r>
      <w:r>
        <w:rPr>
          <w:rFonts w:hint="eastAsia"/>
          <w:sz w:val="30"/>
          <w:szCs w:val="30"/>
          <w:lang w:val="en-US" w:eastAsia="zh-CN"/>
        </w:rPr>
        <w:t>4</w:t>
      </w:r>
    </w:p>
    <w:p>
      <w:pPr>
        <w:pStyle w:val="32"/>
        <w:tabs>
          <w:tab w:val="right" w:leader="dot" w:pos="8660"/>
        </w:tabs>
        <w:spacing w:line="480" w:lineRule="auto"/>
        <w:rPr>
          <w:rFonts w:ascii="Calibri" w:hAnsi="Calibri"/>
          <w:szCs w:val="22"/>
        </w:rPr>
      </w:pPr>
    </w:p>
    <w:p>
      <w:pPr>
        <w:snapToGrid w:val="0"/>
        <w:spacing w:before="240" w:beforeLines="100" w:line="480" w:lineRule="auto"/>
        <w:jc w:val="distribute"/>
        <w:rPr>
          <w:rFonts w:ascii="宋体" w:hAnsi="宋体"/>
          <w:sz w:val="32"/>
          <w:szCs w:val="32"/>
        </w:rPr>
      </w:pPr>
      <w:r>
        <w:rPr>
          <w:rFonts w:ascii="宋体" w:hAnsi="宋体"/>
          <w:sz w:val="32"/>
          <w:szCs w:val="32"/>
        </w:rPr>
        <w:fldChar w:fldCharType="end"/>
      </w:r>
    </w:p>
    <w:p>
      <w:pPr>
        <w:spacing w:before="240" w:beforeLines="100" w:line="460" w:lineRule="exact"/>
        <w:rPr>
          <w:rFonts w:ascii="宋体" w:hAnsi="宋体"/>
          <w:snapToGrid w:val="0"/>
          <w:kern w:val="0"/>
          <w:sz w:val="32"/>
          <w:szCs w:val="32"/>
        </w:rPr>
        <w:sectPr>
          <w:footerReference r:id="rId4" w:type="first"/>
          <w:footerReference r:id="rId3" w:type="default"/>
          <w:pgSz w:w="11907" w:h="16840"/>
          <w:pgMar w:top="1440" w:right="1440" w:bottom="1440" w:left="1797" w:header="851" w:footer="992" w:gutter="0"/>
          <w:pgNumType w:start="0"/>
          <w:cols w:space="720" w:num="1"/>
          <w:titlePg/>
          <w:docGrid w:linePitch="312" w:charSpace="0"/>
        </w:sectPr>
      </w:pPr>
    </w:p>
    <w:p>
      <w:pPr>
        <w:pStyle w:val="3"/>
        <w:keepNext w:val="0"/>
        <w:numPr>
          <w:ilvl w:val="0"/>
          <w:numId w:val="3"/>
        </w:numPr>
        <w:spacing w:before="240" w:beforeLines="100" w:after="240" w:afterLines="100" w:line="460" w:lineRule="exact"/>
        <w:jc w:val="center"/>
        <w:rPr>
          <w:rFonts w:ascii="宋体" w:hAnsi="宋体" w:eastAsia="宋体"/>
          <w:b/>
          <w:kern w:val="0"/>
        </w:rPr>
      </w:pPr>
      <w:bookmarkStart w:id="3" w:name="_Toc484070267"/>
      <w:r>
        <w:rPr>
          <w:rFonts w:hint="eastAsia" w:ascii="宋体" w:hAnsi="宋体" w:eastAsia="宋体"/>
          <w:b/>
          <w:kern w:val="0"/>
        </w:rPr>
        <w:t>招标公告</w:t>
      </w:r>
      <w:bookmarkEnd w:id="3"/>
    </w:p>
    <w:p>
      <w:pPr>
        <w:spacing w:line="360" w:lineRule="auto"/>
        <w:ind w:right="-313" w:rightChars="-149" w:firstLine="480" w:firstLineChars="200"/>
        <w:rPr>
          <w:rFonts w:ascii="宋体" w:hAnsi="宋体"/>
          <w:sz w:val="24"/>
        </w:rPr>
      </w:pPr>
      <w:bookmarkStart w:id="4" w:name="_Toc484070269"/>
      <w:bookmarkStart w:id="5" w:name="_Toc356993550"/>
      <w:bookmarkStart w:id="6" w:name="_Toc180993026"/>
      <w:bookmarkStart w:id="7" w:name="_Toc272400933"/>
      <w:bookmarkStart w:id="8" w:name="_Toc180993033"/>
      <w:r>
        <w:rPr>
          <w:rFonts w:hint="eastAsia" w:ascii="宋体" w:hAnsi="宋体" w:cs="Arial"/>
          <w:sz w:val="24"/>
        </w:rPr>
        <w:t>五矿国际招标有限责任公司</w:t>
      </w:r>
      <w:r>
        <w:rPr>
          <w:rFonts w:hint="eastAsia" w:ascii="宋体" w:hAnsi="宋体"/>
          <w:sz w:val="24"/>
        </w:rPr>
        <w:t>受中国工商银行股份有限公司</w:t>
      </w:r>
      <w:r>
        <w:rPr>
          <w:rFonts w:hint="eastAsia" w:ascii="宋体" w:hAnsi="宋体"/>
          <w:sz w:val="24"/>
          <w:lang w:eastAsia="zh-CN"/>
        </w:rPr>
        <w:t>亳州</w:t>
      </w:r>
      <w:r>
        <w:rPr>
          <w:rFonts w:hint="eastAsia" w:ascii="宋体" w:hAnsi="宋体"/>
          <w:sz w:val="24"/>
        </w:rPr>
        <w:t>分行的委托，现对其</w:t>
      </w:r>
      <w:r>
        <w:rPr>
          <w:rFonts w:hint="eastAsia" w:ascii="宋体" w:hAnsi="宋体"/>
          <w:sz w:val="24"/>
          <w:lang w:val="en-US" w:eastAsia="zh-CN"/>
        </w:rPr>
        <w:t>中国工商银行亳州分行</w:t>
      </w:r>
      <w:r>
        <w:rPr>
          <w:rFonts w:hint="eastAsia" w:ascii="宋体" w:hAnsi="宋体"/>
          <w:sz w:val="24"/>
          <w:lang w:val="zh-CN" w:eastAsia="zh-CN"/>
        </w:rPr>
        <w:t>亳州市人力资源和社会保障局会议室系统改造</w:t>
      </w:r>
      <w:r>
        <w:rPr>
          <w:rFonts w:hint="eastAsia" w:ascii="宋体" w:hAnsi="宋体"/>
          <w:sz w:val="24"/>
          <w:lang w:val="en-US" w:eastAsia="zh-CN"/>
        </w:rPr>
        <w:t>合作</w:t>
      </w:r>
      <w:r>
        <w:rPr>
          <w:rFonts w:hint="eastAsia" w:ascii="宋体" w:hAnsi="宋体"/>
          <w:sz w:val="24"/>
          <w:lang w:val="zh-CN" w:eastAsia="zh-CN"/>
        </w:rPr>
        <w:t>项目</w:t>
      </w:r>
      <w:r>
        <w:rPr>
          <w:rFonts w:hint="eastAsia" w:ascii="宋体" w:hAnsi="宋体"/>
          <w:bCs/>
          <w:sz w:val="24"/>
        </w:rPr>
        <w:t>进行公开招标，欢迎符合条件的投标人参加投标</w:t>
      </w:r>
      <w:r>
        <w:rPr>
          <w:rFonts w:hint="eastAsia" w:ascii="宋体" w:hAnsi="宋体"/>
          <w:sz w:val="24"/>
        </w:rPr>
        <w:t>。</w:t>
      </w:r>
    </w:p>
    <w:p>
      <w:pPr>
        <w:spacing w:line="360" w:lineRule="auto"/>
        <w:ind w:firstLine="482" w:firstLineChars="200"/>
        <w:rPr>
          <w:rFonts w:ascii="宋体" w:hAnsi="宋体"/>
          <w:sz w:val="24"/>
        </w:rPr>
      </w:pPr>
      <w:r>
        <w:rPr>
          <w:rFonts w:hint="eastAsia" w:ascii="宋体" w:hAnsi="宋体"/>
          <w:b/>
          <w:bCs/>
          <w:sz w:val="24"/>
        </w:rPr>
        <w:t>一、项目概况及招标内容</w:t>
      </w:r>
    </w:p>
    <w:p>
      <w:pPr>
        <w:spacing w:line="360" w:lineRule="auto"/>
        <w:ind w:firstLine="480" w:firstLineChars="200"/>
        <w:rPr>
          <w:rFonts w:ascii="宋体" w:hAnsi="宋体"/>
          <w:sz w:val="24"/>
        </w:rPr>
      </w:pPr>
      <w:r>
        <w:rPr>
          <w:rFonts w:hint="eastAsia" w:ascii="宋体" w:hAnsi="宋体"/>
          <w:sz w:val="24"/>
        </w:rPr>
        <w:t>1.招 标 人：中国工商银行股份有限公司</w:t>
      </w:r>
      <w:r>
        <w:rPr>
          <w:rFonts w:hint="eastAsia" w:ascii="宋体" w:hAnsi="宋体"/>
          <w:sz w:val="24"/>
          <w:lang w:val="en-US" w:eastAsia="zh-CN"/>
        </w:rPr>
        <w:t>亳州</w:t>
      </w:r>
      <w:r>
        <w:rPr>
          <w:rFonts w:hint="eastAsia" w:ascii="宋体" w:hAnsi="宋体"/>
          <w:sz w:val="24"/>
        </w:rPr>
        <w:t>分行</w:t>
      </w:r>
    </w:p>
    <w:p>
      <w:pPr>
        <w:spacing w:line="360" w:lineRule="auto"/>
        <w:ind w:firstLine="480" w:firstLineChars="200"/>
        <w:rPr>
          <w:rFonts w:hint="eastAsia" w:ascii="宋体" w:hAnsi="宋体"/>
          <w:sz w:val="24"/>
          <w:lang w:val="zh-CN" w:eastAsia="zh-CN"/>
        </w:rPr>
      </w:pPr>
      <w:r>
        <w:rPr>
          <w:rFonts w:hint="eastAsia" w:ascii="宋体" w:hAnsi="宋体"/>
          <w:sz w:val="24"/>
        </w:rPr>
        <w:t>2.项目名称：</w:t>
      </w:r>
      <w:r>
        <w:rPr>
          <w:rFonts w:hint="eastAsia" w:ascii="宋体" w:hAnsi="宋体"/>
          <w:sz w:val="24"/>
          <w:lang w:val="en-US" w:eastAsia="zh-CN"/>
        </w:rPr>
        <w:t>中国工商银行亳州分行</w:t>
      </w:r>
      <w:r>
        <w:rPr>
          <w:rFonts w:hint="eastAsia" w:ascii="宋体" w:hAnsi="宋体"/>
          <w:sz w:val="24"/>
          <w:lang w:val="zh-CN" w:eastAsia="zh-CN"/>
        </w:rPr>
        <w:t>亳州市人力资源和社会保障局会议室系统改造</w:t>
      </w:r>
      <w:r>
        <w:rPr>
          <w:rFonts w:hint="eastAsia" w:ascii="宋体" w:hAnsi="宋体"/>
          <w:sz w:val="24"/>
          <w:lang w:val="en-US" w:eastAsia="zh-CN"/>
        </w:rPr>
        <w:t>合作</w:t>
      </w:r>
      <w:r>
        <w:rPr>
          <w:rFonts w:hint="eastAsia" w:ascii="宋体" w:hAnsi="宋体"/>
          <w:sz w:val="24"/>
          <w:lang w:val="zh-CN" w:eastAsia="zh-CN"/>
        </w:rPr>
        <w:t>项目</w:t>
      </w:r>
    </w:p>
    <w:p>
      <w:pPr>
        <w:spacing w:line="360" w:lineRule="auto"/>
        <w:ind w:firstLine="480" w:firstLineChars="200"/>
        <w:rPr>
          <w:sz w:val="24"/>
        </w:rPr>
      </w:pPr>
      <w:r>
        <w:rPr>
          <w:rFonts w:hint="eastAsia" w:ascii="宋体" w:hAnsi="宋体"/>
          <w:sz w:val="24"/>
        </w:rPr>
        <w:t>3.</w:t>
      </w:r>
      <w:r>
        <w:rPr>
          <w:sz w:val="24"/>
        </w:rPr>
        <w:t>资</w:t>
      </w:r>
      <w:r>
        <w:rPr>
          <w:rFonts w:hint="eastAsia"/>
          <w:sz w:val="24"/>
        </w:rPr>
        <w:t>金</w:t>
      </w:r>
      <w:r>
        <w:rPr>
          <w:sz w:val="24"/>
        </w:rPr>
        <w:t>来</w:t>
      </w:r>
      <w:r>
        <w:rPr>
          <w:rFonts w:hint="eastAsia"/>
          <w:sz w:val="24"/>
        </w:rPr>
        <w:t>源：自有资金</w:t>
      </w:r>
    </w:p>
    <w:p>
      <w:pPr>
        <w:spacing w:line="360" w:lineRule="auto"/>
        <w:ind w:firstLine="480" w:firstLineChars="200"/>
        <w:rPr>
          <w:sz w:val="24"/>
        </w:rPr>
      </w:pPr>
      <w:r>
        <w:rPr>
          <w:rFonts w:hint="eastAsia" w:ascii="宋体" w:hAnsi="宋体" w:cs="宋体"/>
          <w:sz w:val="24"/>
        </w:rPr>
        <w:t>4.</w:t>
      </w:r>
      <w:r>
        <w:rPr>
          <w:rFonts w:hint="eastAsia"/>
          <w:sz w:val="24"/>
        </w:rPr>
        <w:t>招标控制价：</w:t>
      </w:r>
      <w:r>
        <w:rPr>
          <w:rFonts w:hint="eastAsia"/>
          <w:sz w:val="24"/>
          <w:lang w:val="en-US" w:eastAsia="zh-CN"/>
        </w:rPr>
        <w:t>68</w:t>
      </w:r>
      <w:r>
        <w:rPr>
          <w:rFonts w:hint="eastAsia"/>
          <w:sz w:val="24"/>
        </w:rPr>
        <w:t>万元</w:t>
      </w:r>
    </w:p>
    <w:p>
      <w:pPr>
        <w:spacing w:line="360" w:lineRule="auto"/>
        <w:ind w:firstLine="480" w:firstLineChars="200"/>
        <w:rPr>
          <w:rFonts w:hint="eastAsia" w:ascii="宋体" w:hAnsi="宋体" w:eastAsia="宋体" w:cs="宋体"/>
          <w:kern w:val="0"/>
          <w:sz w:val="24"/>
          <w:lang w:val="en-US" w:eastAsia="zh-CN"/>
        </w:rPr>
      </w:pPr>
      <w:r>
        <w:rPr>
          <w:rFonts w:hint="eastAsia" w:ascii="宋体" w:hAnsi="宋体"/>
          <w:sz w:val="24"/>
        </w:rPr>
        <w:t>5.</w:t>
      </w:r>
      <w:r>
        <w:rPr>
          <w:rFonts w:hint="eastAsia" w:ascii="宋体" w:hAnsi="宋体"/>
          <w:sz w:val="24"/>
          <w:lang w:val="en-US" w:eastAsia="zh-CN"/>
        </w:rPr>
        <w:t>项目概况</w:t>
      </w:r>
      <w:r>
        <w:rPr>
          <w:rFonts w:hint="eastAsia" w:ascii="宋体" w:hAnsi="宋体" w:cs="宋体"/>
          <w:kern w:val="0"/>
          <w:sz w:val="24"/>
        </w:rPr>
        <w:t>：为提高工作效率，及时开展社保卡培训工作，我行亳州市人力资源与社会保障局建设社保卡培训会议室</w:t>
      </w:r>
      <w:r>
        <w:rPr>
          <w:rFonts w:hint="eastAsia" w:ascii="宋体" w:hAnsi="宋体" w:cs="宋体"/>
          <w:kern w:val="0"/>
          <w:sz w:val="24"/>
          <w:lang w:val="en-US" w:eastAsia="zh-CN"/>
        </w:rPr>
        <w:t>进行升级改造</w:t>
      </w:r>
      <w:r>
        <w:rPr>
          <w:rFonts w:hint="eastAsia" w:ascii="宋体" w:hAnsi="宋体" w:cs="宋体"/>
          <w:kern w:val="0"/>
          <w:sz w:val="24"/>
        </w:rPr>
        <w:t>，用于社保卡业务培训和拓展社保卡在公共服务，智慧城市等更多领域应用交流使用。培训会议室系统包括：投影机、电脑，矩阵切换系统，集中控制系统、扩声系统、数字会议室系统、投屏设备、会议桌椅，系统维护等，培训会议室系统</w:t>
      </w:r>
      <w:r>
        <w:rPr>
          <w:rFonts w:hint="eastAsia" w:ascii="宋体" w:hAnsi="宋体" w:cs="宋体"/>
          <w:kern w:val="0"/>
          <w:sz w:val="24"/>
          <w:lang w:val="en-US" w:eastAsia="zh-CN"/>
        </w:rPr>
        <w:t>等。</w:t>
      </w:r>
    </w:p>
    <w:p>
      <w:pPr>
        <w:spacing w:line="360" w:lineRule="auto"/>
        <w:ind w:firstLine="480" w:firstLineChars="200"/>
        <w:rPr>
          <w:rFonts w:ascii="宋体" w:hAnsi="宋体" w:cs="宋体"/>
          <w:kern w:val="0"/>
          <w:sz w:val="24"/>
        </w:rPr>
      </w:pPr>
      <w:r>
        <w:rPr>
          <w:rFonts w:hint="eastAsia" w:ascii="宋体" w:hAnsi="宋体"/>
          <w:sz w:val="24"/>
        </w:rPr>
        <w:t>具体技术参数和要求详见招标文件</w:t>
      </w:r>
      <w:r>
        <w:rPr>
          <w:rFonts w:hint="eastAsia" w:ascii="宋体" w:hAnsi="宋体" w:cs="宋体"/>
          <w:kern w:val="0"/>
          <w:sz w:val="24"/>
        </w:rPr>
        <w:t>。</w:t>
      </w:r>
    </w:p>
    <w:p>
      <w:pPr>
        <w:spacing w:line="360" w:lineRule="auto"/>
        <w:ind w:firstLine="480" w:firstLineChars="200"/>
        <w:rPr>
          <w:rFonts w:ascii="宋体" w:hAnsi="宋体"/>
          <w:sz w:val="24"/>
        </w:rPr>
      </w:pPr>
      <w:r>
        <w:rPr>
          <w:rFonts w:hint="eastAsia" w:ascii="宋体" w:hAnsi="宋体"/>
          <w:sz w:val="24"/>
        </w:rPr>
        <w:t>6.招标范围：</w:t>
      </w:r>
      <w:r>
        <w:rPr>
          <w:rFonts w:hint="eastAsia" w:ascii="宋体" w:hAnsi="宋体" w:cs="宋体"/>
          <w:kern w:val="0"/>
          <w:sz w:val="24"/>
        </w:rPr>
        <w:t>本项目产品的、供货、运输、安装调试、技术和售后服务等所有内容</w:t>
      </w:r>
      <w:r>
        <w:rPr>
          <w:rFonts w:hint="eastAsia" w:ascii="宋体" w:hAnsi="宋体"/>
          <w:sz w:val="24"/>
        </w:rPr>
        <w:t>。</w:t>
      </w:r>
    </w:p>
    <w:p>
      <w:pPr>
        <w:numPr>
          <w:ilvl w:val="0"/>
          <w:numId w:val="4"/>
        </w:numPr>
        <w:spacing w:line="360" w:lineRule="auto"/>
        <w:ind w:firstLine="482" w:firstLineChars="200"/>
        <w:rPr>
          <w:rFonts w:ascii="宋体" w:hAnsi="宋体"/>
          <w:b/>
          <w:bCs/>
          <w:sz w:val="24"/>
        </w:rPr>
      </w:pPr>
      <w:r>
        <w:rPr>
          <w:rFonts w:hint="eastAsia" w:ascii="宋体" w:hAnsi="宋体"/>
          <w:b/>
          <w:bCs/>
          <w:sz w:val="24"/>
        </w:rPr>
        <w:t>投标人资格</w:t>
      </w:r>
    </w:p>
    <w:p>
      <w:pPr>
        <w:spacing w:line="360" w:lineRule="auto"/>
        <w:ind w:firstLine="480" w:firstLineChars="200"/>
        <w:rPr>
          <w:rStyle w:val="61"/>
          <w:rFonts w:hint="default"/>
          <w:sz w:val="24"/>
        </w:rPr>
      </w:pPr>
      <w:r>
        <w:rPr>
          <w:rStyle w:val="61"/>
          <w:rFonts w:hint="default"/>
          <w:sz w:val="24"/>
        </w:rPr>
        <w:t>1.符合《中华人民共和国政府采购法》第二十二条资格条件（需提供承诺函）：</w:t>
      </w:r>
    </w:p>
    <w:p>
      <w:pPr>
        <w:spacing w:line="360" w:lineRule="auto"/>
        <w:ind w:firstLine="480" w:firstLineChars="200"/>
        <w:rPr>
          <w:rStyle w:val="61"/>
          <w:rFonts w:hint="default"/>
          <w:sz w:val="24"/>
        </w:rPr>
      </w:pPr>
      <w:r>
        <w:rPr>
          <w:rStyle w:val="61"/>
          <w:rFonts w:hint="default"/>
          <w:sz w:val="24"/>
        </w:rPr>
        <w:t>（1）具有独立承担民事责任的能力；</w:t>
      </w:r>
    </w:p>
    <w:p>
      <w:pPr>
        <w:spacing w:line="360" w:lineRule="auto"/>
        <w:ind w:firstLine="480" w:firstLineChars="200"/>
        <w:rPr>
          <w:rStyle w:val="61"/>
          <w:rFonts w:hint="default"/>
          <w:sz w:val="24"/>
        </w:rPr>
      </w:pPr>
      <w:r>
        <w:rPr>
          <w:rStyle w:val="61"/>
          <w:rFonts w:hint="default"/>
          <w:sz w:val="24"/>
        </w:rPr>
        <w:t>（2）具有良好的商业信誉和健全的财务会计制度；</w:t>
      </w:r>
    </w:p>
    <w:p>
      <w:pPr>
        <w:spacing w:line="360" w:lineRule="auto"/>
        <w:ind w:firstLine="480" w:firstLineChars="200"/>
        <w:rPr>
          <w:rStyle w:val="61"/>
          <w:rFonts w:hint="default"/>
          <w:sz w:val="24"/>
        </w:rPr>
      </w:pPr>
      <w:r>
        <w:rPr>
          <w:rStyle w:val="61"/>
          <w:rFonts w:hint="default"/>
          <w:sz w:val="24"/>
        </w:rPr>
        <w:t>（3）具有履行合同所必需的设备和专业技术能力；</w:t>
      </w:r>
    </w:p>
    <w:p>
      <w:pPr>
        <w:spacing w:line="360" w:lineRule="auto"/>
        <w:ind w:firstLine="480" w:firstLineChars="200"/>
        <w:rPr>
          <w:rStyle w:val="61"/>
          <w:rFonts w:hint="default"/>
          <w:sz w:val="24"/>
          <w:highlight w:val="yellow"/>
        </w:rPr>
      </w:pPr>
      <w:r>
        <w:rPr>
          <w:rStyle w:val="61"/>
          <w:rFonts w:hint="default"/>
          <w:sz w:val="24"/>
        </w:rPr>
        <w:t>（4）有依法缴纳税收和社会保障资金的良好记录）；</w:t>
      </w:r>
    </w:p>
    <w:p>
      <w:pPr>
        <w:spacing w:line="360" w:lineRule="auto"/>
        <w:ind w:firstLine="480" w:firstLineChars="200"/>
        <w:rPr>
          <w:rStyle w:val="61"/>
          <w:rFonts w:hint="default"/>
          <w:sz w:val="24"/>
        </w:rPr>
      </w:pPr>
      <w:r>
        <w:rPr>
          <w:rStyle w:val="61"/>
          <w:rFonts w:hint="default"/>
          <w:sz w:val="24"/>
        </w:rPr>
        <w:t>（5）参加政府采购活动前三年内，在经营活动中没有重大违法记录；</w:t>
      </w:r>
    </w:p>
    <w:p>
      <w:pPr>
        <w:spacing w:line="360" w:lineRule="auto"/>
        <w:ind w:firstLine="480" w:firstLineChars="200"/>
        <w:rPr>
          <w:rStyle w:val="61"/>
          <w:rFonts w:hint="default"/>
          <w:sz w:val="24"/>
        </w:rPr>
      </w:pPr>
      <w:r>
        <w:rPr>
          <w:rStyle w:val="61"/>
          <w:rFonts w:hint="default"/>
          <w:sz w:val="24"/>
        </w:rPr>
        <w:t>（6）法律、行政法规规定的其他条件；</w:t>
      </w:r>
    </w:p>
    <w:p>
      <w:pPr>
        <w:spacing w:line="360" w:lineRule="auto"/>
        <w:ind w:firstLine="480" w:firstLineChars="200"/>
        <w:jc w:val="left"/>
        <w:rPr>
          <w:rStyle w:val="61"/>
          <w:rFonts w:hint="default"/>
          <w:sz w:val="24"/>
        </w:rPr>
      </w:pPr>
      <w:r>
        <w:rPr>
          <w:rStyle w:val="61"/>
          <w:rFonts w:hint="default"/>
          <w:sz w:val="24"/>
        </w:rPr>
        <w:t>2.投标人不得有被列入失信被执行人、重大税收违法案件当事人名单、政府采购严重违法失信行为记录，提供信用中国网站（www.creditchina.gov.cn）、中国政府采购网 （www .ccgp.gov.cn）的信用信息查询记录截图；</w:t>
      </w:r>
    </w:p>
    <w:p>
      <w:pPr>
        <w:spacing w:line="360" w:lineRule="auto"/>
        <w:ind w:firstLine="480" w:firstLineChars="200"/>
        <w:rPr>
          <w:rFonts w:ascii="宋体" w:hAnsi="宋体"/>
          <w:sz w:val="24"/>
        </w:rPr>
      </w:pPr>
      <w:r>
        <w:rPr>
          <w:rFonts w:hint="eastAsia" w:ascii="宋体" w:hAnsi="宋体"/>
          <w:sz w:val="24"/>
        </w:rPr>
        <w:t>3.本项目不接受联合体投标；</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单位负责人为同一人或者存在直接控股、管理关系的不同</w:t>
      </w:r>
      <w:r>
        <w:rPr>
          <w:rFonts w:hint="eastAsia" w:ascii="宋体" w:hAnsi="宋体" w:cs="宋体"/>
          <w:kern w:val="0"/>
          <w:sz w:val="24"/>
        </w:rPr>
        <w:t>投标人</w:t>
      </w:r>
      <w:r>
        <w:rPr>
          <w:rFonts w:ascii="宋体" w:hAnsi="宋体" w:cs="宋体"/>
          <w:kern w:val="0"/>
          <w:sz w:val="24"/>
        </w:rPr>
        <w:t>，不得参加同一合同项下的采购活动</w:t>
      </w:r>
      <w:r>
        <w:rPr>
          <w:rFonts w:hint="eastAsia" w:ascii="宋体" w:hAnsi="宋体" w:cs="宋体"/>
          <w:kern w:val="0"/>
          <w:sz w:val="24"/>
        </w:rPr>
        <w:t>。</w:t>
      </w:r>
    </w:p>
    <w:p>
      <w:pPr>
        <w:spacing w:line="360" w:lineRule="auto"/>
        <w:ind w:firstLine="482" w:firstLineChars="200"/>
      </w:pPr>
      <w:r>
        <w:rPr>
          <w:rFonts w:hint="eastAsia" w:ascii="宋体" w:hAnsi="宋体"/>
          <w:b/>
          <w:sz w:val="24"/>
        </w:rPr>
        <w:t>三、资格审查方式：资格后审</w:t>
      </w:r>
    </w:p>
    <w:p>
      <w:pPr>
        <w:spacing w:line="360" w:lineRule="auto"/>
        <w:ind w:firstLine="482" w:firstLineChars="200"/>
        <w:rPr>
          <w:rFonts w:ascii="宋体" w:hAnsi="宋体"/>
          <w:b/>
          <w:sz w:val="24"/>
        </w:rPr>
      </w:pPr>
      <w:r>
        <w:rPr>
          <w:rFonts w:hint="eastAsia" w:ascii="宋体" w:hAnsi="宋体"/>
          <w:b/>
          <w:sz w:val="24"/>
        </w:rPr>
        <w:t>四、</w:t>
      </w:r>
      <w:r>
        <w:rPr>
          <w:rFonts w:hint="eastAsia" w:ascii="宋体" w:hAnsi="宋体" w:cs="宋体"/>
          <w:b/>
          <w:bCs/>
          <w:kern w:val="0"/>
          <w:sz w:val="24"/>
        </w:rPr>
        <w:t>投标报名及招标文件获取</w:t>
      </w:r>
      <w:r>
        <w:rPr>
          <w:rFonts w:hint="eastAsia" w:ascii="宋体" w:hAnsi="宋体"/>
          <w:b/>
          <w:sz w:val="24"/>
        </w:rPr>
        <w:t>：</w:t>
      </w:r>
    </w:p>
    <w:p>
      <w:pPr>
        <w:spacing w:line="360" w:lineRule="auto"/>
        <w:ind w:firstLine="480" w:firstLineChars="200"/>
        <w:rPr>
          <w:rFonts w:ascii="宋体" w:hAnsi="宋体" w:cs="宋体"/>
          <w:sz w:val="24"/>
        </w:rPr>
      </w:pPr>
      <w:bookmarkStart w:id="9" w:name="_Toc421283961"/>
      <w:r>
        <w:rPr>
          <w:rFonts w:hint="eastAsia" w:ascii="宋体" w:hAnsi="宋体" w:cs="宋体"/>
          <w:sz w:val="24"/>
        </w:rPr>
        <w:t>1.凡愿意参加投标者，请于2022年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日至2022年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 xml:space="preserve">15 </w:t>
      </w:r>
      <w:r>
        <w:rPr>
          <w:rFonts w:hint="eastAsia" w:ascii="宋体" w:hAnsi="宋体" w:cs="宋体"/>
          <w:sz w:val="24"/>
        </w:rPr>
        <w:t>日（法定公休日、法定节假日除外），每日上午 9：00至 12：00，下午14：00至17：00（北京时间）持法人身份证明及身份证原件或法定代表人授权书原件、授权人身份证原件；同时提供投标人资格要求中的所有相关资料的复印件加盖公章（承诺书提供原件），按顺序装订成册或将资料按顺序制作成1个PDF格式文件通过电子邮件发送进行报名，投标人对所有资料的真实性、准确性、合法性负全部责任；招标人只接受报名资料齐全的投标人（资料仅作报名时存档用，不作为资格评审依据）。</w:t>
      </w:r>
    </w:p>
    <w:p>
      <w:pPr>
        <w:topLinePunct/>
        <w:spacing w:line="360" w:lineRule="auto"/>
        <w:ind w:firstLine="480" w:firstLineChars="200"/>
        <w:rPr>
          <w:rFonts w:ascii="宋体" w:hAnsi="宋体" w:cs="宋体"/>
          <w:sz w:val="24"/>
        </w:rPr>
      </w:pPr>
      <w:r>
        <w:rPr>
          <w:rFonts w:hint="eastAsia" w:ascii="宋体" w:hAnsi="宋体" w:cs="宋体"/>
          <w:sz w:val="24"/>
        </w:rPr>
        <w:t>2.报名地点：五矿国际招标有限责任公司安徽招投标中心（合肥市包河区武汉路230号五矿大厦10楼1001室）。</w:t>
      </w:r>
      <w:r>
        <w:rPr>
          <w:rFonts w:hint="eastAsia" w:ascii="宋体" w:hAnsi="宋体" w:cs="宋体"/>
          <w:b/>
          <w:bCs/>
          <w:sz w:val="24"/>
        </w:rPr>
        <w:t>有意向的潜在投标人也可在报名期间将报名资料盖章扫描件发送至电子邮箱 1812777569@qq.com，并电话联系招标代理机构。</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3.招标文件费：</w:t>
      </w:r>
      <w:r>
        <w:rPr>
          <w:rFonts w:hint="eastAsia" w:ascii="宋体" w:hAnsi="宋体" w:cs="宋体"/>
          <w:sz w:val="24"/>
          <w:lang w:val="en-US" w:eastAsia="zh-CN"/>
        </w:rPr>
        <w:t>600</w:t>
      </w:r>
      <w:r>
        <w:rPr>
          <w:rFonts w:hint="eastAsia" w:ascii="宋体" w:hAnsi="宋体" w:cs="宋体"/>
          <w:sz w:val="24"/>
        </w:rPr>
        <w:t>元（售后不退）。</w:t>
      </w:r>
    </w:p>
    <w:p>
      <w:pPr>
        <w:spacing w:line="360" w:lineRule="auto"/>
        <w:ind w:firstLine="480" w:firstLineChars="200"/>
        <w:rPr>
          <w:rFonts w:ascii="宋体" w:hAnsi="宋体" w:cs="宋体"/>
          <w:sz w:val="24"/>
        </w:rPr>
      </w:pPr>
      <w:r>
        <w:rPr>
          <w:rFonts w:hint="eastAsia" w:ascii="宋体" w:hAnsi="宋体" w:cs="宋体"/>
          <w:sz w:val="24"/>
        </w:rPr>
        <w:t>4.有意向的潜在投标人可从五矿国际招标有限责任公司得到进一步的信息。</w:t>
      </w:r>
    </w:p>
    <w:p>
      <w:pPr>
        <w:topLinePunct/>
        <w:spacing w:line="360" w:lineRule="auto"/>
        <w:ind w:firstLine="482" w:firstLineChars="200"/>
        <w:rPr>
          <w:rFonts w:ascii="宋体" w:hAnsi="宋体" w:cs="宋体"/>
          <w:b/>
          <w:bCs/>
          <w:sz w:val="24"/>
        </w:rPr>
      </w:pPr>
      <w:r>
        <w:rPr>
          <w:rFonts w:hint="eastAsia" w:ascii="宋体" w:hAnsi="宋体" w:cs="宋体"/>
          <w:b/>
          <w:bCs/>
          <w:sz w:val="24"/>
        </w:rPr>
        <w:t>五.发布公告的媒介</w:t>
      </w:r>
    </w:p>
    <w:p>
      <w:pPr>
        <w:topLinePunct/>
        <w:spacing w:line="360" w:lineRule="auto"/>
        <w:ind w:firstLine="480" w:firstLineChars="200"/>
        <w:rPr>
          <w:rFonts w:ascii="宋体" w:hAnsi="宋体" w:cs="宋体"/>
          <w:sz w:val="24"/>
        </w:rPr>
      </w:pPr>
      <w:r>
        <w:rPr>
          <w:rFonts w:hint="eastAsia" w:ascii="宋体" w:hAnsi="宋体" w:cs="宋体"/>
          <w:sz w:val="24"/>
        </w:rPr>
        <w:t>本次招标公告在安徽省招标投标信息网（http://www.ahtba.org.cn/）上发布。</w:t>
      </w:r>
      <w:bookmarkEnd w:id="9"/>
    </w:p>
    <w:p>
      <w:pPr>
        <w:spacing w:line="360" w:lineRule="auto"/>
        <w:ind w:firstLine="482" w:firstLineChars="200"/>
        <w:rPr>
          <w:rFonts w:hint="eastAsia" w:ascii="宋体" w:hAnsi="宋体"/>
          <w:b/>
          <w:sz w:val="24"/>
        </w:rPr>
      </w:pPr>
      <w:r>
        <w:rPr>
          <w:rFonts w:hint="eastAsia" w:ascii="宋体" w:hAnsi="宋体"/>
          <w:b/>
          <w:sz w:val="24"/>
        </w:rPr>
        <w:t>六、联系方式：</w:t>
      </w:r>
    </w:p>
    <w:p>
      <w:pPr>
        <w:spacing w:line="360" w:lineRule="auto"/>
        <w:ind w:firstLine="480" w:firstLineChars="200"/>
        <w:rPr>
          <w:rFonts w:hint="eastAsia" w:ascii="宋体" w:hAnsi="宋体"/>
          <w:b w:val="0"/>
          <w:bCs/>
          <w:sz w:val="24"/>
        </w:rPr>
      </w:pPr>
      <w:r>
        <w:rPr>
          <w:rFonts w:hint="eastAsia" w:ascii="宋体" w:hAnsi="宋体"/>
          <w:b w:val="0"/>
          <w:bCs/>
          <w:sz w:val="24"/>
        </w:rPr>
        <w:t>招  标 人：中国工商银行股份有限公司</w:t>
      </w:r>
      <w:r>
        <w:rPr>
          <w:rFonts w:hint="eastAsia" w:ascii="宋体" w:hAnsi="宋体"/>
          <w:b w:val="0"/>
          <w:bCs/>
          <w:sz w:val="24"/>
          <w:lang w:eastAsia="zh-CN"/>
        </w:rPr>
        <w:t>亳州</w:t>
      </w:r>
      <w:r>
        <w:rPr>
          <w:rFonts w:hint="eastAsia" w:ascii="宋体" w:hAnsi="宋体"/>
          <w:b w:val="0"/>
          <w:bCs/>
          <w:sz w:val="24"/>
        </w:rPr>
        <w:t>分行</w:t>
      </w:r>
    </w:p>
    <w:p>
      <w:pPr>
        <w:spacing w:line="360" w:lineRule="auto"/>
        <w:ind w:firstLine="480" w:firstLineChars="200"/>
        <w:rPr>
          <w:rFonts w:hint="default" w:ascii="宋体" w:hAnsi="宋体"/>
          <w:b w:val="0"/>
          <w:bCs/>
          <w:sz w:val="24"/>
          <w:lang w:val="en-US" w:eastAsia="zh-CN"/>
        </w:rPr>
      </w:pPr>
      <w:r>
        <w:rPr>
          <w:rFonts w:hint="eastAsia" w:ascii="宋体" w:hAnsi="宋体"/>
          <w:b w:val="0"/>
          <w:bCs/>
          <w:sz w:val="24"/>
        </w:rPr>
        <w:t>地     址：</w:t>
      </w:r>
      <w:r>
        <w:rPr>
          <w:rFonts w:hint="eastAsia" w:ascii="宋体" w:hAnsi="宋体"/>
          <w:b w:val="0"/>
          <w:bCs/>
          <w:sz w:val="24"/>
          <w:lang w:eastAsia="zh-CN"/>
        </w:rPr>
        <w:t>亳州市谯城区</w:t>
      </w:r>
      <w:r>
        <w:rPr>
          <w:rFonts w:hint="eastAsia" w:ascii="宋体" w:hAnsi="宋体"/>
          <w:b w:val="0"/>
          <w:bCs/>
          <w:sz w:val="24"/>
          <w:lang w:val="en-US" w:eastAsia="zh-CN"/>
        </w:rPr>
        <w:t>魏武大道983号</w:t>
      </w:r>
    </w:p>
    <w:p>
      <w:pPr>
        <w:spacing w:line="360" w:lineRule="auto"/>
        <w:ind w:firstLine="480" w:firstLineChars="200"/>
        <w:rPr>
          <w:rFonts w:hint="default" w:ascii="宋体" w:hAnsi="宋体"/>
          <w:b w:val="0"/>
          <w:bCs/>
          <w:sz w:val="24"/>
          <w:lang w:val="en-US" w:eastAsia="zh-CN"/>
        </w:rPr>
      </w:pPr>
      <w:r>
        <w:rPr>
          <w:rFonts w:hint="eastAsia" w:ascii="宋体" w:hAnsi="宋体"/>
          <w:b w:val="0"/>
          <w:bCs/>
          <w:sz w:val="24"/>
        </w:rPr>
        <w:t>联  系 人：</w:t>
      </w:r>
      <w:r>
        <w:rPr>
          <w:rFonts w:hint="eastAsia" w:ascii="宋体" w:hAnsi="宋体"/>
          <w:b w:val="0"/>
          <w:bCs/>
          <w:sz w:val="24"/>
          <w:lang w:eastAsia="zh-CN"/>
        </w:rPr>
        <w:t>康小峰</w:t>
      </w:r>
      <w:r>
        <w:rPr>
          <w:rFonts w:hint="eastAsia" w:ascii="宋体" w:hAnsi="宋体"/>
          <w:b w:val="0"/>
          <w:bCs/>
          <w:sz w:val="24"/>
          <w:lang w:val="en-US" w:eastAsia="zh-CN"/>
        </w:rPr>
        <w:t xml:space="preserve"> 季艳红</w:t>
      </w:r>
    </w:p>
    <w:p>
      <w:pPr>
        <w:spacing w:line="360" w:lineRule="auto"/>
        <w:ind w:firstLine="480" w:firstLineChars="200"/>
        <w:rPr>
          <w:rFonts w:hint="default" w:ascii="宋体" w:hAnsi="宋体"/>
          <w:b w:val="0"/>
          <w:bCs/>
          <w:sz w:val="24"/>
          <w:lang w:val="en-US" w:eastAsia="zh-CN"/>
        </w:rPr>
      </w:pPr>
      <w:r>
        <w:rPr>
          <w:rFonts w:hint="eastAsia" w:ascii="宋体" w:hAnsi="宋体"/>
          <w:b w:val="0"/>
          <w:bCs/>
          <w:sz w:val="24"/>
        </w:rPr>
        <w:t>电     话：</w:t>
      </w:r>
      <w:r>
        <w:rPr>
          <w:rFonts w:hint="eastAsia" w:ascii="宋体" w:hAnsi="宋体"/>
          <w:b w:val="0"/>
          <w:bCs/>
          <w:sz w:val="24"/>
          <w:lang w:val="en-US" w:eastAsia="zh-CN"/>
        </w:rPr>
        <w:t>0558-5522790  19856728862</w:t>
      </w:r>
    </w:p>
    <w:p>
      <w:pPr>
        <w:spacing w:line="360" w:lineRule="auto"/>
        <w:ind w:firstLine="480" w:firstLineChars="200"/>
        <w:rPr>
          <w:rFonts w:hint="eastAsia" w:ascii="宋体" w:hAnsi="宋体"/>
          <w:b w:val="0"/>
          <w:bCs/>
          <w:sz w:val="24"/>
        </w:rPr>
      </w:pPr>
      <w:r>
        <w:rPr>
          <w:rFonts w:hint="eastAsia" w:ascii="宋体" w:hAnsi="宋体"/>
          <w:b w:val="0"/>
          <w:bCs/>
          <w:sz w:val="24"/>
        </w:rPr>
        <w:t>招标代理机构：五矿国际招标有限责任公司</w:t>
      </w:r>
    </w:p>
    <w:p>
      <w:pPr>
        <w:snapToGrid w:val="0"/>
        <w:spacing w:line="360" w:lineRule="auto"/>
        <w:ind w:firstLine="480" w:firstLineChars="200"/>
        <w:rPr>
          <w:rFonts w:ascii="宋体" w:hAnsi="宋体"/>
          <w:sz w:val="24"/>
        </w:rPr>
      </w:pPr>
      <w:r>
        <w:rPr>
          <w:rFonts w:hint="eastAsia" w:ascii="宋体" w:hAnsi="宋体"/>
          <w:sz w:val="24"/>
        </w:rPr>
        <w:t>详细地址：北京市海淀区三里河路</w:t>
      </w:r>
      <w:r>
        <w:rPr>
          <w:rFonts w:ascii="宋体" w:hAnsi="宋体"/>
          <w:sz w:val="24"/>
        </w:rPr>
        <w:t>5</w:t>
      </w:r>
      <w:r>
        <w:rPr>
          <w:rFonts w:hint="eastAsia" w:ascii="宋体" w:hAnsi="宋体"/>
          <w:sz w:val="24"/>
        </w:rPr>
        <w:t>号五矿大厦</w:t>
      </w:r>
    </w:p>
    <w:p>
      <w:pPr>
        <w:snapToGrid w:val="0"/>
        <w:spacing w:line="360" w:lineRule="auto"/>
        <w:ind w:firstLine="480" w:firstLineChars="200"/>
        <w:rPr>
          <w:rFonts w:ascii="宋体" w:hAnsi="宋体"/>
          <w:sz w:val="24"/>
        </w:rPr>
      </w:pPr>
      <w:r>
        <w:rPr>
          <w:rFonts w:hint="eastAsia" w:ascii="宋体" w:hAnsi="宋体" w:cs="宋体"/>
          <w:sz w:val="24"/>
        </w:rPr>
        <w:t>安徽招投标中心</w:t>
      </w:r>
      <w:r>
        <w:rPr>
          <w:rFonts w:hint="eastAsia" w:ascii="宋体" w:hAnsi="宋体"/>
          <w:sz w:val="24"/>
        </w:rPr>
        <w:t xml:space="preserve">：合肥市包河区武汉路230号五矿大厦10楼 </w:t>
      </w:r>
    </w:p>
    <w:p>
      <w:pPr>
        <w:snapToGrid w:val="0"/>
        <w:spacing w:line="360" w:lineRule="auto"/>
        <w:ind w:firstLine="480" w:firstLineChars="200"/>
        <w:rPr>
          <w:rFonts w:ascii="宋体" w:hAnsi="宋体"/>
          <w:sz w:val="24"/>
        </w:rPr>
      </w:pPr>
      <w:r>
        <w:rPr>
          <w:rFonts w:hint="eastAsia" w:ascii="宋体" w:hAnsi="宋体"/>
          <w:sz w:val="24"/>
        </w:rPr>
        <w:t>邮</w:t>
      </w:r>
      <w:r>
        <w:rPr>
          <w:rFonts w:ascii="宋体" w:hAnsi="宋体"/>
          <w:sz w:val="24"/>
        </w:rPr>
        <w:t xml:space="preserve">      </w:t>
      </w:r>
      <w:r>
        <w:rPr>
          <w:rFonts w:hint="eastAsia" w:ascii="宋体" w:hAnsi="宋体"/>
          <w:sz w:val="24"/>
        </w:rPr>
        <w:t>编：</w:t>
      </w:r>
      <w:r>
        <w:rPr>
          <w:rFonts w:ascii="宋体" w:hAnsi="宋体"/>
          <w:sz w:val="24"/>
        </w:rPr>
        <w:t>230001</w:t>
      </w:r>
    </w:p>
    <w:p>
      <w:pPr>
        <w:snapToGrid w:val="0"/>
        <w:spacing w:line="360" w:lineRule="auto"/>
        <w:ind w:firstLine="480" w:firstLineChars="2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0551-62612638   13339192608</w:t>
      </w:r>
      <w:r>
        <w:rPr>
          <w:rFonts w:hint="eastAsia" w:ascii="宋体" w:hAnsi="宋体"/>
          <w:sz w:val="24"/>
        </w:rPr>
        <w:t xml:space="preserve">  </w:t>
      </w:r>
    </w:p>
    <w:p>
      <w:pPr>
        <w:snapToGrid w:val="0"/>
        <w:spacing w:line="360" w:lineRule="auto"/>
        <w:ind w:firstLine="480" w:firstLineChars="200"/>
        <w:rPr>
          <w:rFonts w:ascii="宋体" w:hAnsi="宋体"/>
          <w:sz w:val="24"/>
        </w:rPr>
      </w:pPr>
      <w:r>
        <w:rPr>
          <w:rFonts w:hint="eastAsia" w:ascii="宋体" w:hAnsi="宋体"/>
          <w:sz w:val="24"/>
        </w:rPr>
        <w:t>联</w:t>
      </w:r>
      <w:r>
        <w:rPr>
          <w:rFonts w:ascii="宋体" w:hAnsi="宋体"/>
          <w:sz w:val="24"/>
        </w:rPr>
        <w:t xml:space="preserve">  </w:t>
      </w:r>
      <w:r>
        <w:rPr>
          <w:rFonts w:hint="eastAsia" w:ascii="宋体" w:hAnsi="宋体"/>
          <w:sz w:val="24"/>
        </w:rPr>
        <w:t>系</w:t>
      </w:r>
      <w:r>
        <w:rPr>
          <w:rFonts w:ascii="宋体" w:hAnsi="宋体"/>
          <w:sz w:val="24"/>
        </w:rPr>
        <w:t xml:space="preserve">  </w:t>
      </w:r>
      <w:r>
        <w:rPr>
          <w:rFonts w:hint="eastAsia" w:ascii="宋体" w:hAnsi="宋体"/>
          <w:sz w:val="24"/>
        </w:rPr>
        <w:t xml:space="preserve">人：杨工  </w:t>
      </w:r>
    </w:p>
    <w:bookmarkEnd w:id="4"/>
    <w:p>
      <w:pPr>
        <w:pStyle w:val="3"/>
        <w:keepNext w:val="0"/>
        <w:numPr>
          <w:ilvl w:val="0"/>
          <w:numId w:val="3"/>
        </w:numPr>
        <w:tabs>
          <w:tab w:val="clear" w:pos="1770"/>
        </w:tabs>
        <w:spacing w:before="240" w:beforeLines="100" w:after="240" w:afterLines="100" w:line="460" w:lineRule="exact"/>
        <w:jc w:val="center"/>
        <w:rPr>
          <w:rFonts w:ascii="宋体" w:hAnsi="宋体" w:eastAsia="宋体"/>
          <w:b/>
          <w:kern w:val="0"/>
        </w:rPr>
      </w:pPr>
      <w:bookmarkStart w:id="10" w:name="_Toc484070270"/>
      <w:r>
        <w:rPr>
          <w:rFonts w:hint="eastAsia" w:ascii="宋体" w:hAnsi="宋体" w:eastAsia="宋体"/>
          <w:b/>
          <w:kern w:val="0"/>
        </w:rPr>
        <w:t xml:space="preserve"> 投标人须知</w:t>
      </w:r>
      <w:bookmarkEnd w:id="5"/>
      <w:bookmarkEnd w:id="6"/>
      <w:bookmarkEnd w:id="10"/>
    </w:p>
    <w:p>
      <w:pPr>
        <w:jc w:val="center"/>
        <w:rPr>
          <w:b/>
          <w:bCs/>
          <w:sz w:val="32"/>
          <w:szCs w:val="32"/>
        </w:rPr>
      </w:pPr>
      <w:r>
        <w:rPr>
          <w:rFonts w:hint="eastAsia"/>
          <w:b/>
          <w:bCs/>
          <w:sz w:val="32"/>
          <w:szCs w:val="32"/>
        </w:rPr>
        <w:t>投标须知前附表</w:t>
      </w:r>
    </w:p>
    <w:tbl>
      <w:tblPr>
        <w:tblStyle w:val="39"/>
        <w:tblW w:w="9501"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0"/>
        <w:gridCol w:w="644"/>
        <w:gridCol w:w="2077"/>
        <w:gridCol w:w="62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540" w:type="dxa"/>
            <w:vAlign w:val="center"/>
          </w:tcPr>
          <w:p>
            <w:pPr>
              <w:spacing w:line="400" w:lineRule="exact"/>
              <w:jc w:val="center"/>
              <w:rPr>
                <w:rFonts w:ascii="宋体" w:hAnsi="宋体"/>
                <w:b/>
                <w:szCs w:val="21"/>
              </w:rPr>
            </w:pPr>
            <w:bookmarkStart w:id="11" w:name="_Hlk450145046"/>
            <w:r>
              <w:rPr>
                <w:rFonts w:hint="eastAsia" w:ascii="宋体" w:hAnsi="宋体"/>
                <w:b/>
                <w:szCs w:val="21"/>
              </w:rPr>
              <w:t>序号</w:t>
            </w:r>
          </w:p>
        </w:tc>
        <w:tc>
          <w:tcPr>
            <w:tcW w:w="644" w:type="dxa"/>
            <w:vAlign w:val="center"/>
          </w:tcPr>
          <w:p>
            <w:pPr>
              <w:spacing w:line="400" w:lineRule="exact"/>
              <w:jc w:val="center"/>
              <w:rPr>
                <w:rFonts w:ascii="宋体" w:hAnsi="宋体"/>
                <w:b/>
                <w:szCs w:val="21"/>
              </w:rPr>
            </w:pPr>
            <w:r>
              <w:rPr>
                <w:rFonts w:hint="eastAsia" w:ascii="宋体" w:hAnsi="宋体"/>
                <w:b/>
                <w:szCs w:val="21"/>
              </w:rPr>
              <w:t>条款号</w:t>
            </w:r>
          </w:p>
        </w:tc>
        <w:tc>
          <w:tcPr>
            <w:tcW w:w="2077" w:type="dxa"/>
            <w:vAlign w:val="center"/>
          </w:tcPr>
          <w:p>
            <w:pPr>
              <w:spacing w:line="400" w:lineRule="exact"/>
              <w:jc w:val="center"/>
              <w:rPr>
                <w:rFonts w:ascii="宋体" w:hAnsi="宋体"/>
                <w:b/>
                <w:szCs w:val="21"/>
              </w:rPr>
            </w:pPr>
            <w:r>
              <w:rPr>
                <w:rFonts w:hint="eastAsia" w:ascii="宋体" w:hAnsi="宋体"/>
                <w:b/>
                <w:szCs w:val="21"/>
              </w:rPr>
              <w:t>条 款 名 称</w:t>
            </w:r>
          </w:p>
        </w:tc>
        <w:tc>
          <w:tcPr>
            <w:tcW w:w="6240" w:type="dxa"/>
            <w:vAlign w:val="center"/>
          </w:tcPr>
          <w:p>
            <w:pPr>
              <w:spacing w:line="400" w:lineRule="exact"/>
              <w:jc w:val="center"/>
              <w:rPr>
                <w:rFonts w:ascii="宋体" w:hAnsi="宋体"/>
                <w:b/>
                <w:szCs w:val="21"/>
              </w:rPr>
            </w:pPr>
            <w:r>
              <w:rPr>
                <w:rFonts w:hint="eastAsia" w:ascii="宋体" w:hAnsi="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540" w:type="dxa"/>
            <w:vAlign w:val="center"/>
          </w:tcPr>
          <w:p>
            <w:pPr>
              <w:spacing w:line="400" w:lineRule="exact"/>
              <w:jc w:val="center"/>
              <w:rPr>
                <w:rFonts w:ascii="宋体" w:hAnsi="宋体"/>
                <w:szCs w:val="21"/>
              </w:rPr>
            </w:pPr>
            <w:r>
              <w:rPr>
                <w:rFonts w:hint="eastAsia" w:ascii="宋体" w:hAnsi="宋体"/>
                <w:szCs w:val="21"/>
              </w:rPr>
              <w:t>1</w:t>
            </w:r>
          </w:p>
        </w:tc>
        <w:tc>
          <w:tcPr>
            <w:tcW w:w="644" w:type="dxa"/>
            <w:vAlign w:val="center"/>
          </w:tcPr>
          <w:p>
            <w:pPr>
              <w:spacing w:line="400" w:lineRule="exact"/>
              <w:jc w:val="center"/>
              <w:rPr>
                <w:rFonts w:ascii="宋体" w:hAnsi="宋体"/>
                <w:szCs w:val="21"/>
              </w:rPr>
            </w:pPr>
            <w:r>
              <w:rPr>
                <w:rFonts w:hint="eastAsia" w:ascii="宋体" w:hAnsi="宋体"/>
                <w:szCs w:val="21"/>
              </w:rPr>
              <w:t>1.1</w:t>
            </w:r>
          </w:p>
        </w:tc>
        <w:tc>
          <w:tcPr>
            <w:tcW w:w="2077" w:type="dxa"/>
            <w:vAlign w:val="center"/>
          </w:tcPr>
          <w:p>
            <w:pPr>
              <w:spacing w:line="400" w:lineRule="exact"/>
              <w:jc w:val="center"/>
              <w:rPr>
                <w:rFonts w:ascii="宋体" w:hAnsi="宋体"/>
                <w:szCs w:val="21"/>
              </w:rPr>
            </w:pPr>
            <w:r>
              <w:rPr>
                <w:rFonts w:hint="eastAsia" w:ascii="宋体" w:hAnsi="宋体"/>
                <w:szCs w:val="21"/>
              </w:rPr>
              <w:t>招标人</w:t>
            </w:r>
          </w:p>
        </w:tc>
        <w:tc>
          <w:tcPr>
            <w:tcW w:w="6240" w:type="dxa"/>
            <w:vAlign w:val="center"/>
          </w:tcPr>
          <w:p>
            <w:pPr>
              <w:spacing w:line="360" w:lineRule="atLeast"/>
              <w:rPr>
                <w:rFonts w:ascii="宋体" w:hAnsi="宋体"/>
                <w:color w:val="FF0000"/>
                <w:szCs w:val="21"/>
              </w:rPr>
            </w:pPr>
            <w:r>
              <w:rPr>
                <w:rFonts w:hint="eastAsia" w:ascii="宋体" w:hAnsi="宋体"/>
                <w:color w:val="auto"/>
                <w:szCs w:val="21"/>
              </w:rPr>
              <w:t>名称：中国工商银行股份有限公司</w:t>
            </w:r>
            <w:r>
              <w:rPr>
                <w:rFonts w:hint="eastAsia" w:ascii="宋体" w:hAnsi="宋体"/>
                <w:color w:val="auto"/>
                <w:szCs w:val="21"/>
                <w:lang w:eastAsia="zh-CN"/>
              </w:rPr>
              <w:t>亳州</w:t>
            </w:r>
            <w:r>
              <w:rPr>
                <w:rFonts w:hint="eastAsia" w:ascii="宋体" w:hAnsi="宋体"/>
                <w:color w:val="auto"/>
                <w:szCs w:val="21"/>
              </w:rPr>
              <w:t>分行</w:t>
            </w:r>
          </w:p>
          <w:p>
            <w:pPr>
              <w:spacing w:line="360" w:lineRule="atLeast"/>
              <w:rPr>
                <w:rFonts w:hint="default" w:ascii="宋体" w:hAnsi="宋体"/>
                <w:color w:val="auto"/>
                <w:szCs w:val="21"/>
                <w:lang w:val="en-US" w:eastAsia="zh-CN"/>
              </w:rPr>
            </w:pPr>
            <w:r>
              <w:rPr>
                <w:rFonts w:hint="eastAsia" w:ascii="宋体" w:hAnsi="宋体"/>
                <w:color w:val="auto"/>
                <w:szCs w:val="21"/>
              </w:rPr>
              <w:t>地     址：</w:t>
            </w:r>
            <w:r>
              <w:rPr>
                <w:rFonts w:hint="eastAsia" w:ascii="宋体" w:hAnsi="宋体"/>
                <w:color w:val="auto"/>
                <w:szCs w:val="21"/>
                <w:lang w:eastAsia="zh-CN"/>
              </w:rPr>
              <w:t>亳州市谯城区</w:t>
            </w:r>
            <w:r>
              <w:rPr>
                <w:rFonts w:hint="eastAsia" w:ascii="宋体" w:hAnsi="宋体"/>
                <w:color w:val="auto"/>
                <w:szCs w:val="21"/>
                <w:lang w:val="en-US" w:eastAsia="zh-CN"/>
              </w:rPr>
              <w:t>魏武大道983号</w:t>
            </w:r>
          </w:p>
          <w:p>
            <w:pPr>
              <w:spacing w:line="360" w:lineRule="atLeast"/>
              <w:rPr>
                <w:rFonts w:hint="default" w:ascii="宋体" w:hAnsi="宋体"/>
                <w:color w:val="auto"/>
                <w:szCs w:val="21"/>
                <w:lang w:val="en-US" w:eastAsia="zh-CN"/>
              </w:rPr>
            </w:pPr>
            <w:r>
              <w:rPr>
                <w:rFonts w:hint="eastAsia" w:ascii="宋体" w:hAnsi="宋体"/>
                <w:color w:val="auto"/>
                <w:szCs w:val="21"/>
              </w:rPr>
              <w:t>联  系 人：</w:t>
            </w:r>
            <w:r>
              <w:rPr>
                <w:rFonts w:hint="eastAsia" w:ascii="宋体" w:hAnsi="宋体"/>
                <w:color w:val="auto"/>
                <w:szCs w:val="21"/>
                <w:lang w:eastAsia="zh-CN"/>
              </w:rPr>
              <w:t>康小峰</w:t>
            </w:r>
            <w:r>
              <w:rPr>
                <w:rFonts w:hint="eastAsia" w:ascii="宋体" w:hAnsi="宋体"/>
                <w:color w:val="auto"/>
                <w:szCs w:val="21"/>
                <w:lang w:val="en-US" w:eastAsia="zh-CN"/>
              </w:rPr>
              <w:t xml:space="preserve"> 季艳红</w:t>
            </w:r>
          </w:p>
          <w:p>
            <w:pPr>
              <w:spacing w:line="360" w:lineRule="atLeast"/>
              <w:rPr>
                <w:rFonts w:ascii="宋体" w:hAnsi="宋体"/>
                <w:szCs w:val="21"/>
              </w:rPr>
            </w:pPr>
            <w:r>
              <w:rPr>
                <w:rFonts w:hint="eastAsia" w:ascii="宋体" w:hAnsi="宋体"/>
                <w:color w:val="auto"/>
                <w:szCs w:val="21"/>
              </w:rPr>
              <w:t>电     话：</w:t>
            </w:r>
            <w:r>
              <w:rPr>
                <w:rFonts w:hint="eastAsia" w:ascii="宋体" w:hAnsi="宋体"/>
                <w:color w:val="auto"/>
                <w:szCs w:val="21"/>
                <w:lang w:val="en-US" w:eastAsia="zh-CN"/>
              </w:rPr>
              <w:t>0558-5522790  19856728862</w:t>
            </w:r>
            <w:r>
              <w:rPr>
                <w:rFonts w:hint="eastAsia" w:ascii="宋体" w:hAnsi="宋体"/>
                <w:color w:val="auto"/>
                <w:szCs w:val="21"/>
              </w:rPr>
              <w:t xml:space="preserve">  </w:t>
            </w:r>
            <w:r>
              <w:rPr>
                <w:rFonts w:hint="eastAsia" w:ascii="宋体" w:hAnsi="宋体"/>
                <w:color w:val="FF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41" w:hRule="atLeast"/>
        </w:trPr>
        <w:tc>
          <w:tcPr>
            <w:tcW w:w="540" w:type="dxa"/>
            <w:vAlign w:val="center"/>
          </w:tcPr>
          <w:p>
            <w:pPr>
              <w:spacing w:line="400" w:lineRule="exact"/>
              <w:jc w:val="center"/>
              <w:rPr>
                <w:rFonts w:ascii="宋体" w:hAnsi="宋体"/>
                <w:szCs w:val="21"/>
              </w:rPr>
            </w:pPr>
            <w:r>
              <w:rPr>
                <w:rFonts w:hint="eastAsia" w:ascii="宋体" w:hAnsi="宋体"/>
                <w:szCs w:val="21"/>
              </w:rPr>
              <w:t>2</w:t>
            </w:r>
          </w:p>
        </w:tc>
        <w:tc>
          <w:tcPr>
            <w:tcW w:w="644" w:type="dxa"/>
            <w:vAlign w:val="center"/>
          </w:tcPr>
          <w:p>
            <w:pPr>
              <w:spacing w:line="400" w:lineRule="exact"/>
              <w:jc w:val="center"/>
              <w:rPr>
                <w:rFonts w:ascii="宋体" w:hAnsi="宋体"/>
                <w:szCs w:val="21"/>
              </w:rPr>
            </w:pPr>
            <w:r>
              <w:rPr>
                <w:rFonts w:hint="eastAsia" w:ascii="宋体" w:hAnsi="宋体"/>
                <w:szCs w:val="21"/>
              </w:rPr>
              <w:t>1.1</w:t>
            </w:r>
          </w:p>
        </w:tc>
        <w:tc>
          <w:tcPr>
            <w:tcW w:w="2077" w:type="dxa"/>
            <w:vAlign w:val="center"/>
          </w:tcPr>
          <w:p>
            <w:pPr>
              <w:spacing w:line="400" w:lineRule="exact"/>
              <w:jc w:val="center"/>
              <w:rPr>
                <w:rFonts w:ascii="宋体" w:hAnsi="宋体"/>
                <w:szCs w:val="21"/>
              </w:rPr>
            </w:pPr>
            <w:r>
              <w:rPr>
                <w:rFonts w:hint="eastAsia" w:ascii="宋体" w:hAnsi="宋体"/>
                <w:szCs w:val="21"/>
              </w:rPr>
              <w:t>招标代理机构</w:t>
            </w:r>
          </w:p>
        </w:tc>
        <w:tc>
          <w:tcPr>
            <w:tcW w:w="6240" w:type="dxa"/>
            <w:vAlign w:val="center"/>
          </w:tcPr>
          <w:p>
            <w:pPr>
              <w:spacing w:line="360" w:lineRule="atLeast"/>
              <w:jc w:val="left"/>
              <w:rPr>
                <w:rFonts w:ascii="宋体" w:hAnsi="宋体"/>
                <w:szCs w:val="21"/>
              </w:rPr>
            </w:pPr>
            <w:r>
              <w:rPr>
                <w:rFonts w:hint="eastAsia" w:ascii="宋体" w:hAnsi="宋体"/>
                <w:szCs w:val="21"/>
              </w:rPr>
              <w:t>招标代理机构：五矿国际招标有限责任公司</w:t>
            </w:r>
          </w:p>
          <w:p>
            <w:pPr>
              <w:spacing w:line="360" w:lineRule="atLeast"/>
              <w:jc w:val="left"/>
              <w:rPr>
                <w:rFonts w:ascii="宋体" w:hAnsi="宋体"/>
                <w:szCs w:val="21"/>
              </w:rPr>
            </w:pPr>
            <w:r>
              <w:rPr>
                <w:rFonts w:hint="eastAsia" w:ascii="宋体" w:hAnsi="宋体"/>
                <w:szCs w:val="21"/>
              </w:rPr>
              <w:t>详细地址：北京市海淀区三里河路5号五矿大厦</w:t>
            </w:r>
          </w:p>
          <w:p>
            <w:pPr>
              <w:spacing w:line="360" w:lineRule="atLeast"/>
              <w:jc w:val="left"/>
              <w:rPr>
                <w:rFonts w:ascii="宋体" w:hAnsi="宋体"/>
                <w:szCs w:val="21"/>
              </w:rPr>
            </w:pPr>
            <w:r>
              <w:rPr>
                <w:rFonts w:hint="eastAsia" w:ascii="宋体" w:hAnsi="宋体"/>
                <w:szCs w:val="21"/>
              </w:rPr>
              <w:t xml:space="preserve">安徽招投标中心：合肥市包河区武汉路230号五矿大厦10楼 </w:t>
            </w:r>
          </w:p>
          <w:p>
            <w:pPr>
              <w:spacing w:line="360" w:lineRule="atLeast"/>
              <w:jc w:val="left"/>
              <w:rPr>
                <w:rFonts w:ascii="宋体" w:hAnsi="宋体"/>
                <w:szCs w:val="21"/>
              </w:rPr>
            </w:pPr>
            <w:r>
              <w:rPr>
                <w:rFonts w:hint="eastAsia" w:ascii="宋体" w:hAnsi="宋体"/>
                <w:szCs w:val="21"/>
              </w:rPr>
              <w:t>邮      编：230001</w:t>
            </w:r>
          </w:p>
          <w:p>
            <w:pPr>
              <w:spacing w:line="360" w:lineRule="atLeast"/>
              <w:jc w:val="left"/>
              <w:rPr>
                <w:rFonts w:ascii="宋体" w:hAnsi="宋体"/>
                <w:szCs w:val="21"/>
              </w:rPr>
            </w:pPr>
            <w:r>
              <w:rPr>
                <w:rFonts w:hint="eastAsia" w:ascii="宋体" w:hAnsi="宋体"/>
                <w:szCs w:val="21"/>
              </w:rPr>
              <w:t xml:space="preserve">电      话：0551-62612638   13339192608  </w:t>
            </w:r>
          </w:p>
          <w:p>
            <w:pPr>
              <w:spacing w:line="360" w:lineRule="atLeast"/>
              <w:jc w:val="left"/>
              <w:rPr>
                <w:rFonts w:ascii="宋体" w:hAnsi="宋体"/>
                <w:szCs w:val="21"/>
              </w:rPr>
            </w:pPr>
            <w:r>
              <w:rPr>
                <w:rFonts w:hint="eastAsia" w:ascii="宋体" w:hAnsi="宋体"/>
                <w:szCs w:val="21"/>
              </w:rPr>
              <w:t xml:space="preserve">联  系  人：杨工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540" w:type="dxa"/>
            <w:vAlign w:val="center"/>
          </w:tcPr>
          <w:p>
            <w:pPr>
              <w:spacing w:line="400" w:lineRule="exact"/>
              <w:jc w:val="center"/>
              <w:rPr>
                <w:rFonts w:ascii="宋体" w:hAnsi="宋体"/>
                <w:szCs w:val="21"/>
              </w:rPr>
            </w:pPr>
            <w:r>
              <w:rPr>
                <w:rFonts w:hint="eastAsia" w:ascii="宋体" w:hAnsi="宋体"/>
                <w:szCs w:val="21"/>
              </w:rPr>
              <w:t>3</w:t>
            </w:r>
          </w:p>
        </w:tc>
        <w:tc>
          <w:tcPr>
            <w:tcW w:w="644" w:type="dxa"/>
            <w:vAlign w:val="center"/>
          </w:tcPr>
          <w:p>
            <w:pPr>
              <w:spacing w:line="400" w:lineRule="exact"/>
              <w:jc w:val="center"/>
              <w:rPr>
                <w:rFonts w:ascii="宋体" w:hAnsi="宋体"/>
                <w:szCs w:val="21"/>
              </w:rPr>
            </w:pPr>
            <w:r>
              <w:rPr>
                <w:rFonts w:hint="eastAsia" w:ascii="宋体" w:hAnsi="宋体"/>
                <w:szCs w:val="21"/>
              </w:rPr>
              <w:t>1.1</w:t>
            </w:r>
          </w:p>
        </w:tc>
        <w:tc>
          <w:tcPr>
            <w:tcW w:w="2077" w:type="dxa"/>
            <w:vAlign w:val="center"/>
          </w:tcPr>
          <w:p>
            <w:pPr>
              <w:spacing w:line="400" w:lineRule="exact"/>
              <w:jc w:val="center"/>
              <w:rPr>
                <w:rFonts w:ascii="宋体" w:hAnsi="宋体"/>
                <w:szCs w:val="21"/>
              </w:rPr>
            </w:pPr>
            <w:r>
              <w:rPr>
                <w:rFonts w:hint="eastAsia" w:ascii="宋体" w:hAnsi="宋体"/>
                <w:szCs w:val="21"/>
              </w:rPr>
              <w:t>项目名称</w:t>
            </w:r>
          </w:p>
        </w:tc>
        <w:tc>
          <w:tcPr>
            <w:tcW w:w="6240" w:type="dxa"/>
            <w:vAlign w:val="center"/>
          </w:tcPr>
          <w:p>
            <w:pPr>
              <w:spacing w:after="120" w:afterLines="50" w:line="400" w:lineRule="exact"/>
              <w:rPr>
                <w:rFonts w:ascii="宋体" w:hAnsi="宋体"/>
                <w:szCs w:val="21"/>
              </w:rPr>
            </w:pPr>
            <w:r>
              <w:rPr>
                <w:rFonts w:hint="eastAsia" w:ascii="宋体" w:hAnsi="宋体"/>
                <w:szCs w:val="21"/>
                <w:lang w:val="en-US" w:eastAsia="zh-CN"/>
              </w:rPr>
              <w:t>中国工商银行亳州分行</w:t>
            </w:r>
            <w:r>
              <w:rPr>
                <w:rFonts w:hint="eastAsia" w:ascii="宋体" w:hAnsi="宋体"/>
                <w:szCs w:val="21"/>
                <w:lang w:val="zh-CN" w:eastAsia="zh-CN"/>
              </w:rPr>
              <w:t>亳州市人力资源和社会保障局会议室系统改造</w:t>
            </w:r>
            <w:r>
              <w:rPr>
                <w:rFonts w:hint="eastAsia" w:ascii="宋体" w:hAnsi="宋体"/>
                <w:szCs w:val="21"/>
                <w:lang w:val="en-US" w:eastAsia="zh-CN"/>
              </w:rPr>
              <w:t>合作</w:t>
            </w:r>
            <w:r>
              <w:rPr>
                <w:rFonts w:hint="eastAsia" w:ascii="宋体" w:hAnsi="宋体"/>
                <w:szCs w:val="21"/>
                <w:lang w:val="zh-CN" w:eastAsia="zh-CN"/>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540" w:type="dxa"/>
            <w:vAlign w:val="center"/>
          </w:tcPr>
          <w:p>
            <w:pPr>
              <w:spacing w:line="400" w:lineRule="exact"/>
              <w:jc w:val="center"/>
              <w:rPr>
                <w:rFonts w:ascii="宋体" w:hAnsi="宋体"/>
                <w:szCs w:val="21"/>
              </w:rPr>
            </w:pPr>
            <w:r>
              <w:rPr>
                <w:rFonts w:hint="eastAsia" w:ascii="宋体" w:hAnsi="宋体"/>
                <w:szCs w:val="21"/>
              </w:rPr>
              <w:t>4</w:t>
            </w:r>
          </w:p>
        </w:tc>
        <w:tc>
          <w:tcPr>
            <w:tcW w:w="644" w:type="dxa"/>
            <w:vAlign w:val="center"/>
          </w:tcPr>
          <w:p>
            <w:pPr>
              <w:spacing w:line="400" w:lineRule="exact"/>
              <w:jc w:val="center"/>
              <w:rPr>
                <w:rFonts w:ascii="宋体" w:hAnsi="宋体"/>
                <w:szCs w:val="21"/>
              </w:rPr>
            </w:pPr>
            <w:r>
              <w:rPr>
                <w:rFonts w:hint="eastAsia" w:ascii="宋体" w:hAnsi="宋体"/>
                <w:szCs w:val="21"/>
              </w:rPr>
              <w:t>1.1</w:t>
            </w:r>
          </w:p>
        </w:tc>
        <w:tc>
          <w:tcPr>
            <w:tcW w:w="2077" w:type="dxa"/>
            <w:vAlign w:val="center"/>
          </w:tcPr>
          <w:p>
            <w:pPr>
              <w:spacing w:line="400" w:lineRule="exact"/>
              <w:jc w:val="center"/>
              <w:rPr>
                <w:rFonts w:ascii="宋体" w:hAnsi="宋体"/>
                <w:szCs w:val="21"/>
              </w:rPr>
            </w:pPr>
            <w:r>
              <w:rPr>
                <w:rFonts w:hint="eastAsia" w:ascii="宋体" w:hAnsi="宋体"/>
                <w:szCs w:val="21"/>
              </w:rPr>
              <w:t>项目实施地点</w:t>
            </w:r>
          </w:p>
        </w:tc>
        <w:tc>
          <w:tcPr>
            <w:tcW w:w="6240" w:type="dxa"/>
            <w:vAlign w:val="center"/>
          </w:tcPr>
          <w:p>
            <w:pPr>
              <w:spacing w:line="400" w:lineRule="exact"/>
              <w:jc w:val="left"/>
              <w:rPr>
                <w:rFonts w:ascii="宋体" w:hAnsi="宋体"/>
                <w:szCs w:val="21"/>
              </w:rPr>
            </w:pPr>
            <w:r>
              <w:rPr>
                <w:rFonts w:hint="eastAsia" w:ascii="宋体" w:hAnsi="宋体"/>
                <w:szCs w:val="21"/>
              </w:rPr>
              <w:t>招标人指定地点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540" w:type="dxa"/>
            <w:vAlign w:val="center"/>
          </w:tcPr>
          <w:p>
            <w:pPr>
              <w:spacing w:line="400" w:lineRule="exact"/>
              <w:jc w:val="center"/>
              <w:rPr>
                <w:rFonts w:ascii="宋体" w:hAnsi="宋体"/>
                <w:szCs w:val="21"/>
              </w:rPr>
            </w:pPr>
            <w:r>
              <w:rPr>
                <w:rFonts w:hint="eastAsia" w:ascii="宋体" w:hAnsi="宋体"/>
                <w:szCs w:val="21"/>
              </w:rPr>
              <w:t>5</w:t>
            </w:r>
          </w:p>
        </w:tc>
        <w:tc>
          <w:tcPr>
            <w:tcW w:w="644" w:type="dxa"/>
            <w:vAlign w:val="center"/>
          </w:tcPr>
          <w:p>
            <w:pPr>
              <w:spacing w:line="400" w:lineRule="exact"/>
              <w:jc w:val="center"/>
              <w:rPr>
                <w:rFonts w:ascii="宋体" w:hAnsi="宋体"/>
                <w:szCs w:val="21"/>
              </w:rPr>
            </w:pPr>
            <w:r>
              <w:rPr>
                <w:rFonts w:hint="eastAsia" w:ascii="宋体" w:hAnsi="宋体"/>
                <w:szCs w:val="21"/>
              </w:rPr>
              <w:t>1.2</w:t>
            </w:r>
          </w:p>
        </w:tc>
        <w:tc>
          <w:tcPr>
            <w:tcW w:w="2077" w:type="dxa"/>
            <w:vAlign w:val="center"/>
          </w:tcPr>
          <w:p>
            <w:pPr>
              <w:spacing w:line="400" w:lineRule="exact"/>
              <w:jc w:val="center"/>
              <w:rPr>
                <w:rFonts w:ascii="宋体" w:hAnsi="宋体"/>
                <w:szCs w:val="21"/>
              </w:rPr>
            </w:pPr>
            <w:r>
              <w:rPr>
                <w:rFonts w:hint="eastAsia" w:ascii="宋体" w:hAnsi="宋体"/>
                <w:szCs w:val="21"/>
              </w:rPr>
              <w:t>资金来源</w:t>
            </w:r>
          </w:p>
        </w:tc>
        <w:tc>
          <w:tcPr>
            <w:tcW w:w="6240" w:type="dxa"/>
            <w:vAlign w:val="center"/>
          </w:tcPr>
          <w:p>
            <w:pPr>
              <w:spacing w:line="400" w:lineRule="exact"/>
              <w:rPr>
                <w:rFonts w:ascii="宋体" w:hAnsi="宋体"/>
                <w:szCs w:val="21"/>
              </w:rPr>
            </w:pPr>
            <w:r>
              <w:rPr>
                <w:rFonts w:hint="eastAsia" w:ascii="宋体" w:hAnsi="宋体"/>
                <w:szCs w:val="21"/>
              </w:rPr>
              <w:t>自筹资金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8" w:hRule="atLeast"/>
        </w:trPr>
        <w:tc>
          <w:tcPr>
            <w:tcW w:w="540" w:type="dxa"/>
            <w:vAlign w:val="center"/>
          </w:tcPr>
          <w:p>
            <w:pPr>
              <w:spacing w:line="400" w:lineRule="exact"/>
              <w:jc w:val="center"/>
              <w:rPr>
                <w:rFonts w:ascii="宋体" w:hAnsi="宋体"/>
                <w:szCs w:val="21"/>
              </w:rPr>
            </w:pPr>
            <w:r>
              <w:rPr>
                <w:rFonts w:hint="eastAsia" w:ascii="宋体" w:hAnsi="宋体"/>
                <w:szCs w:val="21"/>
              </w:rPr>
              <w:t>6</w:t>
            </w:r>
          </w:p>
        </w:tc>
        <w:tc>
          <w:tcPr>
            <w:tcW w:w="644" w:type="dxa"/>
            <w:vAlign w:val="center"/>
          </w:tcPr>
          <w:p>
            <w:pPr>
              <w:spacing w:line="400" w:lineRule="exact"/>
              <w:jc w:val="center"/>
              <w:rPr>
                <w:rFonts w:ascii="宋体" w:hAnsi="宋体"/>
                <w:szCs w:val="21"/>
              </w:rPr>
            </w:pPr>
            <w:r>
              <w:rPr>
                <w:rFonts w:hint="eastAsia" w:ascii="宋体" w:hAnsi="宋体"/>
                <w:szCs w:val="21"/>
              </w:rPr>
              <w:t>1.2</w:t>
            </w:r>
          </w:p>
        </w:tc>
        <w:tc>
          <w:tcPr>
            <w:tcW w:w="2077" w:type="dxa"/>
            <w:vAlign w:val="center"/>
          </w:tcPr>
          <w:p>
            <w:pPr>
              <w:spacing w:line="400" w:lineRule="exact"/>
              <w:jc w:val="center"/>
              <w:rPr>
                <w:rFonts w:ascii="宋体" w:hAnsi="宋体"/>
                <w:szCs w:val="21"/>
              </w:rPr>
            </w:pPr>
            <w:r>
              <w:rPr>
                <w:rFonts w:hint="eastAsia" w:ascii="宋体" w:hAnsi="宋体"/>
                <w:szCs w:val="21"/>
              </w:rPr>
              <w:t>资金落实情况</w:t>
            </w:r>
          </w:p>
        </w:tc>
        <w:tc>
          <w:tcPr>
            <w:tcW w:w="6240" w:type="dxa"/>
            <w:vAlign w:val="center"/>
          </w:tcPr>
          <w:p>
            <w:pPr>
              <w:spacing w:line="400" w:lineRule="exact"/>
              <w:jc w:val="left"/>
              <w:rPr>
                <w:rFonts w:ascii="宋体" w:hAnsi="宋体"/>
                <w:szCs w:val="21"/>
              </w:rPr>
            </w:pPr>
            <w:r>
              <w:rPr>
                <w:rFonts w:hint="eastAsia" w:ascii="宋体" w:hAnsi="宋体"/>
                <w:szCs w:val="21"/>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540" w:type="dxa"/>
            <w:vAlign w:val="center"/>
          </w:tcPr>
          <w:p>
            <w:pPr>
              <w:spacing w:line="400" w:lineRule="exact"/>
              <w:jc w:val="center"/>
              <w:rPr>
                <w:rFonts w:ascii="宋体" w:hAnsi="宋体"/>
                <w:szCs w:val="21"/>
              </w:rPr>
            </w:pPr>
            <w:r>
              <w:rPr>
                <w:rFonts w:hint="eastAsia" w:ascii="宋体" w:hAnsi="宋体"/>
                <w:szCs w:val="21"/>
              </w:rPr>
              <w:t>7</w:t>
            </w:r>
          </w:p>
        </w:tc>
        <w:tc>
          <w:tcPr>
            <w:tcW w:w="644" w:type="dxa"/>
            <w:vAlign w:val="center"/>
          </w:tcPr>
          <w:p>
            <w:pPr>
              <w:spacing w:line="400" w:lineRule="exact"/>
              <w:jc w:val="center"/>
              <w:rPr>
                <w:rFonts w:ascii="宋体" w:hAnsi="宋体"/>
                <w:szCs w:val="21"/>
              </w:rPr>
            </w:pPr>
            <w:r>
              <w:rPr>
                <w:rFonts w:ascii="宋体" w:hAnsi="宋体"/>
                <w:szCs w:val="21"/>
              </w:rPr>
              <w:t>1.</w:t>
            </w:r>
            <w:r>
              <w:rPr>
                <w:rFonts w:hint="eastAsia" w:ascii="宋体" w:hAnsi="宋体"/>
                <w:szCs w:val="21"/>
              </w:rPr>
              <w:t>3</w:t>
            </w:r>
          </w:p>
        </w:tc>
        <w:tc>
          <w:tcPr>
            <w:tcW w:w="2077" w:type="dxa"/>
            <w:vAlign w:val="center"/>
          </w:tcPr>
          <w:p>
            <w:pPr>
              <w:spacing w:line="400" w:lineRule="exact"/>
              <w:jc w:val="center"/>
              <w:rPr>
                <w:rFonts w:ascii="宋体" w:hAnsi="宋体"/>
                <w:szCs w:val="21"/>
              </w:rPr>
            </w:pPr>
            <w:r>
              <w:rPr>
                <w:rFonts w:hint="eastAsia" w:ascii="宋体" w:hAnsi="宋体"/>
                <w:szCs w:val="21"/>
              </w:rPr>
              <w:t>招标范围</w:t>
            </w:r>
          </w:p>
        </w:tc>
        <w:tc>
          <w:tcPr>
            <w:tcW w:w="6240" w:type="dxa"/>
            <w:vAlign w:val="center"/>
          </w:tcPr>
          <w:p>
            <w:pPr>
              <w:spacing w:line="400" w:lineRule="exact"/>
              <w:jc w:val="left"/>
              <w:rPr>
                <w:rFonts w:ascii="宋体" w:hAnsi="宋体"/>
                <w:szCs w:val="21"/>
              </w:rPr>
            </w:pPr>
            <w:r>
              <w:rPr>
                <w:rFonts w:hint="eastAsia" w:ascii="宋体" w:hAnsi="宋体"/>
                <w:szCs w:val="21"/>
              </w:rPr>
              <w:t>本项目产品的、供货、运输、安装调试、技术和售后服务等所有内容。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540" w:type="dxa"/>
            <w:vAlign w:val="center"/>
          </w:tcPr>
          <w:p>
            <w:pPr>
              <w:spacing w:line="400" w:lineRule="exact"/>
              <w:jc w:val="center"/>
              <w:rPr>
                <w:rFonts w:ascii="宋体" w:hAnsi="宋体"/>
                <w:szCs w:val="21"/>
              </w:rPr>
            </w:pPr>
            <w:r>
              <w:rPr>
                <w:rFonts w:hint="eastAsia" w:ascii="宋体" w:hAnsi="宋体"/>
                <w:szCs w:val="21"/>
              </w:rPr>
              <w:t>8</w:t>
            </w:r>
          </w:p>
        </w:tc>
        <w:tc>
          <w:tcPr>
            <w:tcW w:w="644" w:type="dxa"/>
            <w:vAlign w:val="center"/>
          </w:tcPr>
          <w:p>
            <w:pPr>
              <w:spacing w:line="400" w:lineRule="exact"/>
              <w:jc w:val="center"/>
              <w:rPr>
                <w:rFonts w:ascii="宋体" w:hAnsi="宋体"/>
                <w:szCs w:val="21"/>
              </w:rPr>
            </w:pPr>
            <w:r>
              <w:rPr>
                <w:rFonts w:hint="eastAsia" w:ascii="宋体" w:hAnsi="宋体"/>
                <w:szCs w:val="21"/>
              </w:rPr>
              <w:t>1.3</w:t>
            </w:r>
          </w:p>
        </w:tc>
        <w:tc>
          <w:tcPr>
            <w:tcW w:w="2077" w:type="dxa"/>
            <w:vAlign w:val="center"/>
          </w:tcPr>
          <w:p>
            <w:pPr>
              <w:spacing w:line="400" w:lineRule="exact"/>
              <w:jc w:val="center"/>
              <w:rPr>
                <w:rFonts w:ascii="宋体" w:hAnsi="宋体"/>
                <w:szCs w:val="21"/>
              </w:rPr>
            </w:pPr>
            <w:r>
              <w:rPr>
                <w:rFonts w:hint="eastAsia" w:ascii="宋体" w:hAnsi="宋体"/>
                <w:szCs w:val="21"/>
              </w:rPr>
              <w:t>招标控制价</w:t>
            </w:r>
          </w:p>
        </w:tc>
        <w:tc>
          <w:tcPr>
            <w:tcW w:w="6240" w:type="dxa"/>
            <w:vAlign w:val="center"/>
          </w:tcPr>
          <w:p>
            <w:pPr>
              <w:spacing w:line="400" w:lineRule="exact"/>
              <w:jc w:val="left"/>
              <w:rPr>
                <w:rFonts w:ascii="宋体" w:hAnsi="宋体"/>
                <w:szCs w:val="21"/>
              </w:rPr>
            </w:pPr>
            <w:r>
              <w:rPr>
                <w:rFonts w:hint="eastAsia" w:ascii="宋体" w:hAnsi="宋体"/>
                <w:szCs w:val="21"/>
                <w:u w:val="single"/>
                <w:lang w:val="en-US" w:eastAsia="zh-CN"/>
              </w:rPr>
              <w:t>68</w:t>
            </w:r>
            <w:r>
              <w:rPr>
                <w:rFonts w:hint="eastAsia" w:ascii="宋体" w:hAnsi="宋体"/>
                <w:szCs w:val="21"/>
                <w:u w:val="single"/>
              </w:rPr>
              <w:t xml:space="preserve"> </w:t>
            </w:r>
            <w:r>
              <w:rPr>
                <w:rFonts w:hint="eastAsia" w:ascii="宋体" w:hAnsi="宋体"/>
                <w:szCs w:val="21"/>
              </w:rPr>
              <w:t>万元，</w:t>
            </w:r>
            <w:r>
              <w:rPr>
                <w:rFonts w:hint="eastAsia" w:ascii="宋体" w:hAnsi="宋体"/>
              </w:rPr>
              <w:t>投标报价不得高于招标控制价，否则作废标处理。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540" w:type="dxa"/>
            <w:vAlign w:val="center"/>
          </w:tcPr>
          <w:p>
            <w:pPr>
              <w:spacing w:line="400" w:lineRule="exact"/>
              <w:jc w:val="center"/>
              <w:rPr>
                <w:rFonts w:ascii="宋体" w:hAnsi="宋体"/>
                <w:szCs w:val="21"/>
              </w:rPr>
            </w:pPr>
            <w:r>
              <w:rPr>
                <w:rFonts w:hint="eastAsia" w:ascii="宋体" w:hAnsi="宋体"/>
                <w:szCs w:val="21"/>
              </w:rPr>
              <w:t>9</w:t>
            </w:r>
          </w:p>
        </w:tc>
        <w:tc>
          <w:tcPr>
            <w:tcW w:w="644" w:type="dxa"/>
            <w:vAlign w:val="center"/>
          </w:tcPr>
          <w:p>
            <w:pPr>
              <w:spacing w:line="400" w:lineRule="exact"/>
              <w:jc w:val="center"/>
              <w:rPr>
                <w:rFonts w:ascii="宋体" w:hAnsi="宋体"/>
                <w:szCs w:val="21"/>
              </w:rPr>
            </w:pPr>
            <w:r>
              <w:rPr>
                <w:rFonts w:hint="eastAsia" w:ascii="宋体" w:hAnsi="宋体"/>
                <w:szCs w:val="21"/>
              </w:rPr>
              <w:t>1.3</w:t>
            </w:r>
          </w:p>
        </w:tc>
        <w:tc>
          <w:tcPr>
            <w:tcW w:w="2077" w:type="dxa"/>
            <w:vAlign w:val="center"/>
          </w:tcPr>
          <w:p>
            <w:pPr>
              <w:spacing w:line="400" w:lineRule="exact"/>
              <w:jc w:val="center"/>
              <w:rPr>
                <w:rFonts w:ascii="宋体" w:hAnsi="宋体"/>
                <w:szCs w:val="21"/>
              </w:rPr>
            </w:pPr>
            <w:r>
              <w:rPr>
                <w:rFonts w:hint="eastAsia" w:ascii="宋体" w:hAnsi="宋体"/>
                <w:szCs w:val="21"/>
              </w:rPr>
              <w:t>标段划分</w:t>
            </w:r>
          </w:p>
        </w:tc>
        <w:tc>
          <w:tcPr>
            <w:tcW w:w="6240" w:type="dxa"/>
            <w:vAlign w:val="center"/>
          </w:tcPr>
          <w:p>
            <w:pPr>
              <w:spacing w:line="400" w:lineRule="exact"/>
              <w:jc w:val="left"/>
              <w:rPr>
                <w:rFonts w:ascii="宋体" w:hAnsi="宋体"/>
                <w:szCs w:val="21"/>
              </w:rPr>
            </w:pPr>
            <w:r>
              <w:rPr>
                <w:rFonts w:hint="eastAsia" w:ascii="宋体" w:hAnsi="宋体"/>
                <w:szCs w:val="21"/>
              </w:rPr>
              <w:t>1个标段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540" w:type="dxa"/>
            <w:vAlign w:val="center"/>
          </w:tcPr>
          <w:p>
            <w:pPr>
              <w:spacing w:line="400" w:lineRule="exact"/>
              <w:jc w:val="center"/>
              <w:rPr>
                <w:rFonts w:ascii="宋体" w:hAnsi="宋体"/>
                <w:szCs w:val="21"/>
              </w:rPr>
            </w:pPr>
            <w:r>
              <w:rPr>
                <w:rFonts w:hint="eastAsia" w:ascii="宋体" w:hAnsi="宋体"/>
                <w:szCs w:val="21"/>
              </w:rPr>
              <w:t>10</w:t>
            </w:r>
          </w:p>
        </w:tc>
        <w:tc>
          <w:tcPr>
            <w:tcW w:w="644" w:type="dxa"/>
            <w:vAlign w:val="center"/>
          </w:tcPr>
          <w:p>
            <w:pPr>
              <w:spacing w:line="400" w:lineRule="exact"/>
              <w:jc w:val="center"/>
              <w:rPr>
                <w:rFonts w:ascii="宋体" w:hAnsi="宋体"/>
                <w:szCs w:val="21"/>
              </w:rPr>
            </w:pPr>
            <w:r>
              <w:rPr>
                <w:rFonts w:hint="eastAsia" w:ascii="宋体" w:hAnsi="宋体"/>
                <w:szCs w:val="21"/>
              </w:rPr>
              <w:t>1.3</w:t>
            </w:r>
          </w:p>
        </w:tc>
        <w:tc>
          <w:tcPr>
            <w:tcW w:w="2077" w:type="dxa"/>
            <w:vAlign w:val="center"/>
          </w:tcPr>
          <w:p>
            <w:pPr>
              <w:spacing w:line="400" w:lineRule="exact"/>
              <w:jc w:val="center"/>
              <w:rPr>
                <w:rFonts w:ascii="宋体" w:hAnsi="宋体"/>
                <w:szCs w:val="21"/>
              </w:rPr>
            </w:pPr>
            <w:r>
              <w:rPr>
                <w:rFonts w:hint="eastAsia" w:ascii="宋体" w:hAnsi="宋体"/>
                <w:szCs w:val="21"/>
              </w:rPr>
              <w:t>供货及安装期限</w:t>
            </w:r>
          </w:p>
        </w:tc>
        <w:tc>
          <w:tcPr>
            <w:tcW w:w="6240" w:type="dxa"/>
          </w:tcPr>
          <w:p>
            <w:pPr>
              <w:spacing w:line="400" w:lineRule="exact"/>
              <w:jc w:val="left"/>
              <w:rPr>
                <w:rFonts w:ascii="宋体" w:hAnsi="宋体"/>
                <w:szCs w:val="21"/>
              </w:rPr>
            </w:pPr>
            <w:r>
              <w:rPr>
                <w:rFonts w:hint="eastAsia" w:ascii="宋体" w:hAnsi="宋体"/>
                <w:color w:val="auto"/>
                <w:szCs w:val="21"/>
              </w:rPr>
              <w:t>中标人在签定合同后，</w:t>
            </w:r>
            <w:r>
              <w:rPr>
                <w:rFonts w:hint="eastAsia" w:ascii="宋体" w:hAnsi="宋体"/>
                <w:color w:val="auto"/>
                <w:szCs w:val="21"/>
                <w:lang w:val="en-US" w:eastAsia="zh-CN"/>
              </w:rPr>
              <w:t>3</w:t>
            </w:r>
            <w:r>
              <w:rPr>
                <w:rFonts w:hint="eastAsia" w:ascii="宋体" w:hAnsi="宋体"/>
                <w:color w:val="auto"/>
                <w:szCs w:val="21"/>
              </w:rPr>
              <w:t>0个日历天内完成供货以及安装、调试等工作，并交采购人验收，保证货物正常使用。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540" w:type="dxa"/>
            <w:vAlign w:val="center"/>
          </w:tcPr>
          <w:p>
            <w:pPr>
              <w:spacing w:line="400" w:lineRule="exact"/>
              <w:jc w:val="center"/>
              <w:rPr>
                <w:rFonts w:ascii="宋体" w:hAnsi="宋体"/>
                <w:szCs w:val="21"/>
              </w:rPr>
            </w:pPr>
            <w:r>
              <w:rPr>
                <w:rFonts w:hint="eastAsia" w:ascii="宋体" w:hAnsi="宋体"/>
                <w:szCs w:val="21"/>
              </w:rPr>
              <w:t>11</w:t>
            </w:r>
          </w:p>
        </w:tc>
        <w:tc>
          <w:tcPr>
            <w:tcW w:w="644" w:type="dxa"/>
            <w:vAlign w:val="center"/>
          </w:tcPr>
          <w:p>
            <w:pPr>
              <w:spacing w:line="400" w:lineRule="exact"/>
              <w:jc w:val="center"/>
              <w:rPr>
                <w:rFonts w:ascii="宋体" w:hAnsi="宋体"/>
                <w:szCs w:val="21"/>
              </w:rPr>
            </w:pPr>
            <w:r>
              <w:rPr>
                <w:rFonts w:hint="eastAsia" w:ascii="宋体" w:hAnsi="宋体"/>
                <w:szCs w:val="21"/>
              </w:rPr>
              <w:t>1.3</w:t>
            </w:r>
          </w:p>
        </w:tc>
        <w:tc>
          <w:tcPr>
            <w:tcW w:w="2077" w:type="dxa"/>
            <w:vAlign w:val="center"/>
          </w:tcPr>
          <w:p>
            <w:pPr>
              <w:spacing w:line="400" w:lineRule="exact"/>
              <w:jc w:val="center"/>
              <w:rPr>
                <w:rFonts w:ascii="宋体" w:hAnsi="宋体"/>
                <w:szCs w:val="21"/>
              </w:rPr>
            </w:pPr>
            <w:r>
              <w:rPr>
                <w:rFonts w:hint="eastAsia" w:ascii="宋体" w:hAnsi="宋体"/>
                <w:szCs w:val="21"/>
              </w:rPr>
              <w:t>质量要求</w:t>
            </w:r>
          </w:p>
        </w:tc>
        <w:tc>
          <w:tcPr>
            <w:tcW w:w="6240" w:type="dxa"/>
            <w:vAlign w:val="center"/>
          </w:tcPr>
          <w:p>
            <w:pPr>
              <w:spacing w:line="400" w:lineRule="exact"/>
              <w:rPr>
                <w:rFonts w:ascii="宋体" w:hAnsi="宋体"/>
                <w:szCs w:val="21"/>
              </w:rPr>
            </w:pPr>
            <w:r>
              <w:rPr>
                <w:rFonts w:hint="eastAsia" w:ascii="宋体" w:hAnsi="宋体"/>
                <w:szCs w:val="21"/>
              </w:rPr>
              <w:t>符合国家规范和标准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4" w:hRule="atLeast"/>
        </w:trPr>
        <w:tc>
          <w:tcPr>
            <w:tcW w:w="540" w:type="dxa"/>
            <w:vAlign w:val="center"/>
          </w:tcPr>
          <w:p>
            <w:pPr>
              <w:spacing w:line="400" w:lineRule="exact"/>
              <w:jc w:val="center"/>
              <w:rPr>
                <w:rFonts w:ascii="宋体" w:hAnsi="宋体"/>
                <w:szCs w:val="21"/>
              </w:rPr>
            </w:pPr>
            <w:r>
              <w:rPr>
                <w:rFonts w:hint="eastAsia" w:ascii="宋体" w:hAnsi="宋体"/>
                <w:szCs w:val="21"/>
              </w:rPr>
              <w:t>12</w:t>
            </w:r>
          </w:p>
        </w:tc>
        <w:tc>
          <w:tcPr>
            <w:tcW w:w="644" w:type="dxa"/>
            <w:vAlign w:val="center"/>
          </w:tcPr>
          <w:p>
            <w:pPr>
              <w:spacing w:line="400" w:lineRule="exact"/>
              <w:jc w:val="center"/>
              <w:rPr>
                <w:rFonts w:ascii="宋体" w:hAnsi="宋体"/>
                <w:szCs w:val="21"/>
              </w:rPr>
            </w:pPr>
          </w:p>
        </w:tc>
        <w:tc>
          <w:tcPr>
            <w:tcW w:w="2077" w:type="dxa"/>
            <w:vAlign w:val="center"/>
          </w:tcPr>
          <w:p>
            <w:pPr>
              <w:spacing w:line="400" w:lineRule="exact"/>
              <w:jc w:val="center"/>
              <w:rPr>
                <w:rFonts w:ascii="宋体" w:hAnsi="宋体"/>
                <w:color w:val="auto"/>
                <w:szCs w:val="21"/>
              </w:rPr>
            </w:pPr>
            <w:r>
              <w:rPr>
                <w:rFonts w:hint="eastAsia" w:ascii="宋体" w:hAnsi="宋体" w:cs="Calibri"/>
                <w:color w:val="auto"/>
                <w:szCs w:val="21"/>
              </w:rPr>
              <w:t>质量保证期</w:t>
            </w:r>
          </w:p>
        </w:tc>
        <w:tc>
          <w:tcPr>
            <w:tcW w:w="6240" w:type="dxa"/>
            <w:vAlign w:val="center"/>
          </w:tcPr>
          <w:p>
            <w:pPr>
              <w:spacing w:line="400" w:lineRule="exact"/>
              <w:rPr>
                <w:rFonts w:ascii="宋体" w:hAnsi="宋体"/>
                <w:color w:val="auto"/>
                <w:szCs w:val="21"/>
              </w:rPr>
            </w:pPr>
            <w:r>
              <w:rPr>
                <w:rFonts w:hint="eastAsia" w:ascii="宋体" w:hAnsi="宋体"/>
                <w:color w:val="auto"/>
                <w:szCs w:val="21"/>
              </w:rPr>
              <w:t>设备质保期三年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540" w:type="dxa"/>
            <w:vAlign w:val="center"/>
          </w:tcPr>
          <w:p>
            <w:pPr>
              <w:spacing w:line="400" w:lineRule="exact"/>
              <w:jc w:val="center"/>
              <w:rPr>
                <w:rFonts w:ascii="宋体" w:hAnsi="宋体"/>
                <w:szCs w:val="21"/>
              </w:rPr>
            </w:pPr>
            <w:r>
              <w:rPr>
                <w:rFonts w:hint="eastAsia" w:ascii="宋体" w:hAnsi="宋体"/>
                <w:szCs w:val="21"/>
              </w:rPr>
              <w:t>13</w:t>
            </w:r>
          </w:p>
        </w:tc>
        <w:tc>
          <w:tcPr>
            <w:tcW w:w="644" w:type="dxa"/>
            <w:vAlign w:val="center"/>
          </w:tcPr>
          <w:p>
            <w:pPr>
              <w:spacing w:line="400" w:lineRule="exact"/>
              <w:jc w:val="center"/>
              <w:rPr>
                <w:rFonts w:ascii="宋体" w:hAnsi="宋体"/>
                <w:szCs w:val="21"/>
              </w:rPr>
            </w:pPr>
            <w:r>
              <w:rPr>
                <w:rFonts w:hint="eastAsia" w:ascii="宋体" w:hAnsi="宋体"/>
                <w:szCs w:val="21"/>
              </w:rPr>
              <w:t>1.3</w:t>
            </w:r>
          </w:p>
        </w:tc>
        <w:tc>
          <w:tcPr>
            <w:tcW w:w="2077" w:type="dxa"/>
            <w:vAlign w:val="center"/>
          </w:tcPr>
          <w:p>
            <w:pPr>
              <w:spacing w:line="400" w:lineRule="exact"/>
              <w:jc w:val="center"/>
              <w:rPr>
                <w:rFonts w:ascii="宋体" w:hAnsi="宋体"/>
                <w:szCs w:val="21"/>
              </w:rPr>
            </w:pPr>
            <w:r>
              <w:rPr>
                <w:rFonts w:hint="eastAsia" w:ascii="宋体" w:hAnsi="宋体"/>
                <w:szCs w:val="21"/>
              </w:rPr>
              <w:t>验收方式</w:t>
            </w:r>
          </w:p>
        </w:tc>
        <w:tc>
          <w:tcPr>
            <w:tcW w:w="6240" w:type="dxa"/>
            <w:vAlign w:val="center"/>
          </w:tcPr>
          <w:p>
            <w:pPr>
              <w:spacing w:line="400" w:lineRule="exact"/>
              <w:rPr>
                <w:rFonts w:ascii="宋体" w:hAnsi="宋体"/>
                <w:szCs w:val="21"/>
              </w:rPr>
            </w:pPr>
            <w:r>
              <w:rPr>
                <w:rFonts w:hint="eastAsia" w:ascii="宋体" w:hAnsi="宋体"/>
                <w:szCs w:val="21"/>
              </w:rPr>
              <w:t>现场验收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1" w:hRule="atLeast"/>
        </w:trPr>
        <w:tc>
          <w:tcPr>
            <w:tcW w:w="540" w:type="dxa"/>
            <w:vAlign w:val="center"/>
          </w:tcPr>
          <w:p>
            <w:pPr>
              <w:spacing w:line="400" w:lineRule="exact"/>
              <w:jc w:val="center"/>
              <w:rPr>
                <w:rFonts w:ascii="宋体" w:hAnsi="宋体"/>
                <w:szCs w:val="21"/>
              </w:rPr>
            </w:pPr>
            <w:r>
              <w:rPr>
                <w:rFonts w:hint="eastAsia" w:ascii="宋体" w:hAnsi="宋体"/>
                <w:szCs w:val="21"/>
              </w:rPr>
              <w:t>14</w:t>
            </w:r>
          </w:p>
        </w:tc>
        <w:tc>
          <w:tcPr>
            <w:tcW w:w="644" w:type="dxa"/>
            <w:vAlign w:val="center"/>
          </w:tcPr>
          <w:p>
            <w:pPr>
              <w:spacing w:line="400" w:lineRule="exact"/>
              <w:jc w:val="center"/>
              <w:rPr>
                <w:rFonts w:ascii="宋体" w:hAnsi="宋体"/>
                <w:szCs w:val="21"/>
              </w:rPr>
            </w:pPr>
          </w:p>
        </w:tc>
        <w:tc>
          <w:tcPr>
            <w:tcW w:w="2077" w:type="dxa"/>
            <w:vAlign w:val="center"/>
          </w:tcPr>
          <w:p>
            <w:pPr>
              <w:spacing w:line="400" w:lineRule="exact"/>
              <w:jc w:val="center"/>
              <w:rPr>
                <w:rFonts w:ascii="宋体" w:hAnsi="宋体"/>
                <w:color w:val="auto"/>
                <w:szCs w:val="21"/>
              </w:rPr>
            </w:pPr>
            <w:r>
              <w:rPr>
                <w:rFonts w:hint="eastAsia" w:ascii="宋体" w:hAnsi="宋体" w:cs="Calibri"/>
                <w:color w:val="auto"/>
                <w:szCs w:val="21"/>
              </w:rPr>
              <w:t>付款方式</w:t>
            </w:r>
          </w:p>
        </w:tc>
        <w:tc>
          <w:tcPr>
            <w:tcW w:w="6240" w:type="dxa"/>
            <w:vAlign w:val="center"/>
          </w:tcPr>
          <w:p>
            <w:pPr>
              <w:spacing w:line="400" w:lineRule="exact"/>
              <w:rPr>
                <w:rFonts w:ascii="宋体" w:hAnsi="宋体"/>
                <w:color w:val="auto"/>
                <w:szCs w:val="21"/>
              </w:rPr>
            </w:pPr>
            <w:r>
              <w:rPr>
                <w:rFonts w:hint="eastAsia" w:ascii="宋体" w:hAnsi="宋体"/>
                <w:color w:val="auto"/>
                <w:szCs w:val="21"/>
              </w:rPr>
              <w:t>设备到货经采购人验收合格</w:t>
            </w:r>
            <w:r>
              <w:rPr>
                <w:rFonts w:hint="eastAsia" w:ascii="宋体" w:hAnsi="宋体"/>
                <w:color w:val="auto"/>
                <w:szCs w:val="21"/>
                <w:lang w:eastAsia="zh-CN"/>
              </w:rPr>
              <w:t>，安装测试通过后</w:t>
            </w:r>
            <w:r>
              <w:rPr>
                <w:rFonts w:hint="eastAsia" w:ascii="宋体" w:hAnsi="宋体"/>
                <w:color w:val="auto"/>
                <w:szCs w:val="21"/>
              </w:rPr>
              <w:t>，支付合同价款的</w:t>
            </w:r>
            <w:r>
              <w:rPr>
                <w:rFonts w:hint="eastAsia" w:ascii="宋体" w:hAnsi="宋体"/>
                <w:color w:val="auto"/>
                <w:szCs w:val="21"/>
                <w:lang w:val="en-US" w:eastAsia="zh-CN"/>
              </w:rPr>
              <w:t>80</w:t>
            </w:r>
            <w:r>
              <w:rPr>
                <w:rFonts w:hint="eastAsia" w:ascii="宋体" w:hAnsi="宋体"/>
                <w:color w:val="auto"/>
                <w:szCs w:val="21"/>
              </w:rPr>
              <w:t>%，质保期后支付剩余</w:t>
            </w:r>
            <w:r>
              <w:rPr>
                <w:rFonts w:hint="eastAsia" w:ascii="宋体" w:hAnsi="宋体"/>
                <w:color w:val="auto"/>
                <w:szCs w:val="21"/>
                <w:lang w:val="en-US" w:eastAsia="zh-CN"/>
              </w:rPr>
              <w:t>20</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5" w:hRule="atLeast"/>
        </w:trPr>
        <w:tc>
          <w:tcPr>
            <w:tcW w:w="540" w:type="dxa"/>
            <w:vAlign w:val="center"/>
          </w:tcPr>
          <w:p>
            <w:pPr>
              <w:spacing w:line="400" w:lineRule="exact"/>
              <w:jc w:val="center"/>
              <w:rPr>
                <w:rFonts w:ascii="宋体" w:hAnsi="宋体"/>
                <w:szCs w:val="21"/>
              </w:rPr>
            </w:pPr>
            <w:r>
              <w:rPr>
                <w:rFonts w:hint="eastAsia" w:ascii="宋体" w:hAnsi="宋体"/>
                <w:szCs w:val="21"/>
              </w:rPr>
              <w:t>15</w:t>
            </w:r>
          </w:p>
        </w:tc>
        <w:tc>
          <w:tcPr>
            <w:tcW w:w="644" w:type="dxa"/>
            <w:vAlign w:val="center"/>
          </w:tcPr>
          <w:p>
            <w:pPr>
              <w:spacing w:line="400" w:lineRule="exact"/>
              <w:jc w:val="center"/>
              <w:rPr>
                <w:rFonts w:ascii="宋体" w:hAnsi="宋体"/>
                <w:szCs w:val="21"/>
              </w:rPr>
            </w:pPr>
            <w:r>
              <w:rPr>
                <w:rFonts w:hint="eastAsia" w:ascii="宋体" w:hAnsi="宋体"/>
                <w:szCs w:val="21"/>
              </w:rPr>
              <w:t>1.4</w:t>
            </w:r>
          </w:p>
        </w:tc>
        <w:tc>
          <w:tcPr>
            <w:tcW w:w="2077" w:type="dxa"/>
            <w:vAlign w:val="center"/>
          </w:tcPr>
          <w:p>
            <w:pPr>
              <w:spacing w:line="400" w:lineRule="exact"/>
              <w:jc w:val="center"/>
              <w:rPr>
                <w:rFonts w:ascii="宋体" w:hAnsi="宋体"/>
                <w:szCs w:val="21"/>
              </w:rPr>
            </w:pPr>
            <w:r>
              <w:rPr>
                <w:rFonts w:hint="eastAsia" w:ascii="宋体" w:hAnsi="宋体"/>
                <w:szCs w:val="21"/>
              </w:rPr>
              <w:t>投标人资格审查方式</w:t>
            </w:r>
          </w:p>
        </w:tc>
        <w:tc>
          <w:tcPr>
            <w:tcW w:w="6240" w:type="dxa"/>
            <w:vAlign w:val="center"/>
          </w:tcPr>
          <w:p>
            <w:pPr>
              <w:spacing w:line="400" w:lineRule="exact"/>
              <w:rPr>
                <w:rFonts w:ascii="宋体" w:hAnsi="宋体"/>
                <w:szCs w:val="21"/>
              </w:rPr>
            </w:pPr>
            <w:r>
              <w:rPr>
                <w:rFonts w:hint="eastAsia" w:ascii="宋体" w:hAnsi="宋体"/>
                <w:szCs w:val="21"/>
              </w:rPr>
              <w:t>资格预审 □       资格后审√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540" w:type="dxa"/>
            <w:vAlign w:val="center"/>
          </w:tcPr>
          <w:p>
            <w:pPr>
              <w:spacing w:line="400" w:lineRule="exact"/>
              <w:jc w:val="center"/>
              <w:rPr>
                <w:rFonts w:ascii="宋体" w:hAnsi="宋体"/>
                <w:szCs w:val="21"/>
              </w:rPr>
            </w:pPr>
            <w:r>
              <w:rPr>
                <w:rFonts w:hint="eastAsia" w:ascii="宋体" w:hAnsi="宋体"/>
                <w:szCs w:val="21"/>
              </w:rPr>
              <w:t>16</w:t>
            </w:r>
          </w:p>
        </w:tc>
        <w:tc>
          <w:tcPr>
            <w:tcW w:w="644" w:type="dxa"/>
            <w:vAlign w:val="center"/>
          </w:tcPr>
          <w:p>
            <w:pPr>
              <w:spacing w:line="400" w:lineRule="exact"/>
              <w:jc w:val="center"/>
              <w:rPr>
                <w:rFonts w:ascii="宋体" w:hAnsi="宋体"/>
                <w:szCs w:val="21"/>
              </w:rPr>
            </w:pPr>
            <w:r>
              <w:rPr>
                <w:rFonts w:hint="eastAsia" w:ascii="宋体" w:hAnsi="宋体"/>
                <w:szCs w:val="21"/>
              </w:rPr>
              <w:t>1.4</w:t>
            </w:r>
          </w:p>
        </w:tc>
        <w:tc>
          <w:tcPr>
            <w:tcW w:w="2077" w:type="dxa"/>
            <w:vAlign w:val="center"/>
          </w:tcPr>
          <w:p>
            <w:pPr>
              <w:spacing w:line="400" w:lineRule="exact"/>
              <w:jc w:val="center"/>
              <w:rPr>
                <w:rFonts w:ascii="宋体" w:hAnsi="宋体"/>
                <w:szCs w:val="21"/>
              </w:rPr>
            </w:pPr>
            <w:r>
              <w:rPr>
                <w:rFonts w:hint="eastAsia" w:ascii="宋体" w:hAnsi="宋体"/>
                <w:szCs w:val="21"/>
              </w:rPr>
              <w:t>投标人资格条件</w:t>
            </w:r>
          </w:p>
        </w:tc>
        <w:tc>
          <w:tcPr>
            <w:tcW w:w="6240" w:type="dxa"/>
            <w:vAlign w:val="center"/>
          </w:tcPr>
          <w:p>
            <w:pPr>
              <w:spacing w:line="360" w:lineRule="auto"/>
              <w:rPr>
                <w:szCs w:val="21"/>
              </w:rPr>
            </w:pPr>
            <w:r>
              <w:rPr>
                <w:szCs w:val="21"/>
              </w:rPr>
              <w:t>1.符合《中华人民共和国政府采购法》第二十二条资格条件（需提供承诺函）：</w:t>
            </w:r>
          </w:p>
          <w:p>
            <w:pPr>
              <w:spacing w:line="360" w:lineRule="auto"/>
              <w:rPr>
                <w:szCs w:val="21"/>
              </w:rPr>
            </w:pPr>
            <w:r>
              <w:rPr>
                <w:szCs w:val="21"/>
              </w:rPr>
              <w:t>（1）具有独立承担民事责任的能力；</w:t>
            </w:r>
          </w:p>
          <w:p>
            <w:pPr>
              <w:spacing w:line="360" w:lineRule="auto"/>
              <w:rPr>
                <w:szCs w:val="21"/>
              </w:rPr>
            </w:pPr>
            <w:r>
              <w:rPr>
                <w:szCs w:val="21"/>
              </w:rPr>
              <w:t>（2）具有良好的商业信誉和健全的财务会计制度；</w:t>
            </w:r>
          </w:p>
          <w:p>
            <w:pPr>
              <w:spacing w:line="360" w:lineRule="auto"/>
              <w:rPr>
                <w:szCs w:val="21"/>
              </w:rPr>
            </w:pPr>
            <w:r>
              <w:rPr>
                <w:szCs w:val="21"/>
              </w:rPr>
              <w:t>（3）具有履行合同所必需的设备和专业技术能力；</w:t>
            </w:r>
          </w:p>
          <w:p>
            <w:pPr>
              <w:spacing w:line="360" w:lineRule="auto"/>
              <w:rPr>
                <w:szCs w:val="21"/>
              </w:rPr>
            </w:pPr>
            <w:r>
              <w:rPr>
                <w:szCs w:val="21"/>
              </w:rPr>
              <w:t>（4）有依法缴纳税收和社会保障资金的良好记录）；</w:t>
            </w:r>
          </w:p>
          <w:p>
            <w:pPr>
              <w:spacing w:line="360" w:lineRule="auto"/>
              <w:rPr>
                <w:szCs w:val="21"/>
              </w:rPr>
            </w:pPr>
            <w:r>
              <w:rPr>
                <w:szCs w:val="21"/>
              </w:rPr>
              <w:t>（5）参加政府采购活动前三年内，在经营活动中没有重大违法记录；</w:t>
            </w:r>
          </w:p>
          <w:p>
            <w:pPr>
              <w:spacing w:line="360" w:lineRule="auto"/>
              <w:rPr>
                <w:szCs w:val="21"/>
              </w:rPr>
            </w:pPr>
            <w:r>
              <w:rPr>
                <w:szCs w:val="21"/>
              </w:rPr>
              <w:t>（6）法律、行政法规规定的其他条件；</w:t>
            </w:r>
          </w:p>
          <w:p>
            <w:pPr>
              <w:spacing w:line="360" w:lineRule="auto"/>
              <w:jc w:val="left"/>
              <w:rPr>
                <w:szCs w:val="21"/>
              </w:rPr>
            </w:pPr>
            <w:r>
              <w:rPr>
                <w:szCs w:val="21"/>
              </w:rPr>
              <w:t>2.投标人不得有被列入失信被执行人、重大税收违法案件当事人名单、政府采购严重违法失信行为记录，提供信用中国网站（www.creditchina.gov.cn）、中国政府采购网 （www .ccgp.gov.cn）的信用信息查询记录截图；</w:t>
            </w:r>
          </w:p>
          <w:p>
            <w:pPr>
              <w:spacing w:line="360" w:lineRule="auto"/>
              <w:rPr>
                <w:rFonts w:ascii="宋体" w:hAnsi="宋体"/>
                <w:szCs w:val="21"/>
              </w:rPr>
            </w:pPr>
            <w:r>
              <w:rPr>
                <w:rFonts w:hint="eastAsia" w:ascii="宋体" w:hAnsi="宋体"/>
                <w:szCs w:val="21"/>
              </w:rPr>
              <w:t>3.本项目不接受联合体投标；</w:t>
            </w:r>
          </w:p>
          <w:p>
            <w:pPr>
              <w:spacing w:line="360" w:lineRule="auto"/>
              <w:rPr>
                <w:rFonts w:ascii="宋体" w:hAnsi="宋体" w:cs="宋体"/>
                <w:kern w:val="0"/>
                <w:sz w:val="24"/>
              </w:rPr>
            </w:pPr>
            <w:r>
              <w:rPr>
                <w:rFonts w:hint="eastAsia" w:ascii="宋体" w:hAnsi="宋体"/>
                <w:szCs w:val="21"/>
              </w:rPr>
              <w:t>4.</w:t>
            </w:r>
            <w:r>
              <w:rPr>
                <w:rFonts w:ascii="宋体" w:hAnsi="宋体"/>
                <w:szCs w:val="21"/>
              </w:rPr>
              <w:t>单位负责人为同一人或者存在直接控股、管理关系的不同</w:t>
            </w:r>
            <w:r>
              <w:rPr>
                <w:rFonts w:hint="eastAsia" w:ascii="宋体" w:hAnsi="宋体"/>
                <w:szCs w:val="21"/>
              </w:rPr>
              <w:t>投标人</w:t>
            </w:r>
            <w:r>
              <w:rPr>
                <w:rFonts w:ascii="宋体" w:hAnsi="宋体"/>
                <w:szCs w:val="21"/>
              </w:rPr>
              <w:t>，不得参加同一合同项下的采购活动</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40" w:type="dxa"/>
            <w:vAlign w:val="center"/>
          </w:tcPr>
          <w:p>
            <w:pPr>
              <w:spacing w:line="400" w:lineRule="exact"/>
              <w:jc w:val="center"/>
              <w:rPr>
                <w:rFonts w:ascii="宋体" w:hAnsi="宋体"/>
                <w:szCs w:val="21"/>
              </w:rPr>
            </w:pPr>
            <w:r>
              <w:rPr>
                <w:rFonts w:hint="eastAsia" w:ascii="宋体" w:hAnsi="宋体"/>
                <w:szCs w:val="21"/>
              </w:rPr>
              <w:t>17</w:t>
            </w:r>
          </w:p>
        </w:tc>
        <w:tc>
          <w:tcPr>
            <w:tcW w:w="644" w:type="dxa"/>
            <w:vAlign w:val="center"/>
          </w:tcPr>
          <w:p>
            <w:pPr>
              <w:spacing w:line="400" w:lineRule="exact"/>
              <w:jc w:val="center"/>
              <w:rPr>
                <w:rFonts w:ascii="宋体" w:hAnsi="宋体"/>
                <w:szCs w:val="21"/>
              </w:rPr>
            </w:pPr>
            <w:r>
              <w:rPr>
                <w:rFonts w:hint="eastAsia" w:ascii="宋体" w:hAnsi="宋体"/>
                <w:szCs w:val="21"/>
              </w:rPr>
              <w:t>1.4</w:t>
            </w:r>
          </w:p>
        </w:tc>
        <w:tc>
          <w:tcPr>
            <w:tcW w:w="2077" w:type="dxa"/>
            <w:vAlign w:val="center"/>
          </w:tcPr>
          <w:p>
            <w:pPr>
              <w:spacing w:line="400" w:lineRule="exact"/>
              <w:jc w:val="center"/>
              <w:rPr>
                <w:rFonts w:ascii="宋体" w:hAnsi="宋体"/>
                <w:szCs w:val="21"/>
              </w:rPr>
            </w:pPr>
            <w:r>
              <w:rPr>
                <w:rFonts w:hint="eastAsia" w:ascii="宋体" w:hAnsi="宋体"/>
                <w:szCs w:val="21"/>
              </w:rPr>
              <w:t>是否接受联合体投标</w:t>
            </w:r>
          </w:p>
        </w:tc>
        <w:tc>
          <w:tcPr>
            <w:tcW w:w="6240" w:type="dxa"/>
            <w:vAlign w:val="center"/>
          </w:tcPr>
          <w:p>
            <w:pPr>
              <w:spacing w:line="400" w:lineRule="exact"/>
              <w:rPr>
                <w:rFonts w:ascii="宋体" w:hAnsi="宋体"/>
                <w:szCs w:val="21"/>
              </w:rPr>
            </w:pPr>
            <w:r>
              <w:rPr>
                <w:rFonts w:hint="eastAsia" w:ascii="宋体" w:hAnsi="宋体"/>
                <w:szCs w:val="21"/>
              </w:rPr>
              <w:t>√  不接受</w:t>
            </w:r>
          </w:p>
          <w:p>
            <w:pPr>
              <w:spacing w:line="400" w:lineRule="exact"/>
              <w:rPr>
                <w:rFonts w:ascii="宋体" w:hAnsi="宋体"/>
                <w:szCs w:val="21"/>
              </w:rPr>
            </w:pPr>
            <w:r>
              <w:rPr>
                <w:rFonts w:hint="eastAsia" w:ascii="宋体" w:hAnsi="宋体"/>
                <w:szCs w:val="21"/>
              </w:rPr>
              <w:t>□  接受,应满足下列要求: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6" w:hRule="atLeast"/>
        </w:trPr>
        <w:tc>
          <w:tcPr>
            <w:tcW w:w="540" w:type="dxa"/>
            <w:vAlign w:val="center"/>
          </w:tcPr>
          <w:p>
            <w:pPr>
              <w:spacing w:line="400" w:lineRule="exact"/>
              <w:jc w:val="center"/>
              <w:rPr>
                <w:rFonts w:ascii="宋体" w:hAnsi="宋体"/>
                <w:szCs w:val="21"/>
              </w:rPr>
            </w:pPr>
            <w:r>
              <w:rPr>
                <w:rFonts w:hint="eastAsia" w:ascii="宋体" w:hAnsi="宋体"/>
                <w:szCs w:val="21"/>
              </w:rPr>
              <w:t>18</w:t>
            </w:r>
          </w:p>
        </w:tc>
        <w:tc>
          <w:tcPr>
            <w:tcW w:w="644" w:type="dxa"/>
            <w:vAlign w:val="center"/>
          </w:tcPr>
          <w:p>
            <w:pPr>
              <w:spacing w:line="400" w:lineRule="exact"/>
              <w:jc w:val="center"/>
              <w:rPr>
                <w:rFonts w:ascii="宋体" w:hAnsi="宋体"/>
                <w:szCs w:val="21"/>
              </w:rPr>
            </w:pPr>
            <w:r>
              <w:rPr>
                <w:rFonts w:hint="eastAsia" w:ascii="宋体" w:hAnsi="宋体"/>
                <w:szCs w:val="21"/>
              </w:rPr>
              <w:t>1.9</w:t>
            </w:r>
          </w:p>
        </w:tc>
        <w:tc>
          <w:tcPr>
            <w:tcW w:w="2077" w:type="dxa"/>
            <w:vAlign w:val="center"/>
          </w:tcPr>
          <w:p>
            <w:pPr>
              <w:spacing w:line="400" w:lineRule="exact"/>
              <w:jc w:val="center"/>
              <w:rPr>
                <w:rFonts w:ascii="宋体" w:hAnsi="宋体"/>
                <w:szCs w:val="21"/>
              </w:rPr>
            </w:pPr>
            <w:r>
              <w:rPr>
                <w:rFonts w:hint="eastAsia" w:ascii="宋体" w:hAnsi="宋体"/>
                <w:szCs w:val="21"/>
              </w:rPr>
              <w:t>投标预备会</w:t>
            </w:r>
          </w:p>
        </w:tc>
        <w:tc>
          <w:tcPr>
            <w:tcW w:w="6240" w:type="dxa"/>
            <w:vAlign w:val="center"/>
          </w:tcPr>
          <w:p>
            <w:pPr>
              <w:spacing w:line="400" w:lineRule="exact"/>
              <w:rPr>
                <w:rFonts w:ascii="宋体" w:hAnsi="宋体"/>
                <w:szCs w:val="21"/>
              </w:rPr>
            </w:pPr>
            <w:r>
              <w:rPr>
                <w:rFonts w:hint="eastAsia" w:ascii="宋体" w:hAnsi="宋体"/>
                <w:szCs w:val="21"/>
              </w:rPr>
              <w:t>√  不召开</w:t>
            </w:r>
          </w:p>
          <w:p>
            <w:pPr>
              <w:spacing w:line="400" w:lineRule="exact"/>
              <w:rPr>
                <w:rFonts w:ascii="宋体" w:hAnsi="宋体"/>
                <w:szCs w:val="21"/>
              </w:rPr>
            </w:pPr>
            <w:r>
              <w:rPr>
                <w:rFonts w:hint="eastAsia" w:ascii="宋体" w:hAnsi="宋体"/>
                <w:szCs w:val="21"/>
              </w:rPr>
              <w:t>□  召开，召开时间:</w:t>
            </w:r>
          </w:p>
          <w:p>
            <w:pPr>
              <w:spacing w:line="400" w:lineRule="exact"/>
              <w:rPr>
                <w:rFonts w:ascii="宋体" w:hAnsi="宋体"/>
                <w:szCs w:val="21"/>
              </w:rPr>
            </w:pPr>
            <w:r>
              <w:rPr>
                <w:rFonts w:hint="eastAsia" w:ascii="宋体" w:hAnsi="宋体"/>
                <w:szCs w:val="21"/>
              </w:rPr>
              <w:t xml:space="preserve">          召开地点: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56" w:hRule="atLeast"/>
        </w:trPr>
        <w:tc>
          <w:tcPr>
            <w:tcW w:w="540" w:type="dxa"/>
            <w:vAlign w:val="center"/>
          </w:tcPr>
          <w:p>
            <w:pPr>
              <w:spacing w:line="400" w:lineRule="exact"/>
              <w:jc w:val="center"/>
              <w:rPr>
                <w:rFonts w:ascii="宋体" w:hAnsi="宋体"/>
                <w:szCs w:val="21"/>
              </w:rPr>
            </w:pPr>
            <w:r>
              <w:rPr>
                <w:rFonts w:hint="eastAsia" w:ascii="宋体" w:hAnsi="宋体"/>
                <w:szCs w:val="21"/>
              </w:rPr>
              <w:t>19</w:t>
            </w:r>
          </w:p>
        </w:tc>
        <w:tc>
          <w:tcPr>
            <w:tcW w:w="644" w:type="dxa"/>
            <w:vAlign w:val="center"/>
          </w:tcPr>
          <w:p>
            <w:pPr>
              <w:spacing w:line="400" w:lineRule="exact"/>
              <w:jc w:val="center"/>
              <w:rPr>
                <w:rFonts w:ascii="宋体" w:hAnsi="宋体"/>
                <w:szCs w:val="21"/>
              </w:rPr>
            </w:pPr>
            <w:r>
              <w:rPr>
                <w:rFonts w:hint="eastAsia" w:ascii="宋体" w:hAnsi="宋体"/>
                <w:szCs w:val="21"/>
              </w:rPr>
              <w:t>1.10</w:t>
            </w:r>
          </w:p>
        </w:tc>
        <w:tc>
          <w:tcPr>
            <w:tcW w:w="2077" w:type="dxa"/>
            <w:vAlign w:val="center"/>
          </w:tcPr>
          <w:p>
            <w:pPr>
              <w:spacing w:line="400" w:lineRule="exact"/>
              <w:jc w:val="center"/>
              <w:rPr>
                <w:rFonts w:ascii="宋体" w:hAnsi="宋体"/>
                <w:szCs w:val="21"/>
              </w:rPr>
            </w:pPr>
            <w:r>
              <w:rPr>
                <w:rFonts w:hint="eastAsia" w:ascii="宋体" w:hAnsi="宋体"/>
                <w:szCs w:val="21"/>
              </w:rPr>
              <w:t>对分包的要求</w:t>
            </w:r>
          </w:p>
        </w:tc>
        <w:tc>
          <w:tcPr>
            <w:tcW w:w="6240" w:type="dxa"/>
            <w:vAlign w:val="center"/>
          </w:tcPr>
          <w:p>
            <w:pPr>
              <w:spacing w:line="400" w:lineRule="exact"/>
              <w:rPr>
                <w:rFonts w:ascii="宋体" w:hAnsi="宋体"/>
                <w:szCs w:val="21"/>
              </w:rPr>
            </w:pPr>
            <w:r>
              <w:rPr>
                <w:rFonts w:hint="eastAsia" w:ascii="宋体" w:hAnsi="宋体"/>
                <w:szCs w:val="21"/>
              </w:rPr>
              <w:t>√  不允许</w:t>
            </w:r>
          </w:p>
          <w:p>
            <w:pPr>
              <w:spacing w:line="400" w:lineRule="exact"/>
              <w:rPr>
                <w:rFonts w:ascii="宋体" w:hAnsi="宋体"/>
                <w:szCs w:val="21"/>
              </w:rPr>
            </w:pPr>
            <w:r>
              <w:rPr>
                <w:rFonts w:hint="eastAsia" w:ascii="宋体" w:hAnsi="宋体"/>
                <w:szCs w:val="21"/>
              </w:rPr>
              <w:t>□  允许,分包内容要求:</w:t>
            </w:r>
          </w:p>
          <w:p>
            <w:pPr>
              <w:spacing w:line="400" w:lineRule="exact"/>
              <w:rPr>
                <w:rFonts w:ascii="宋体" w:hAnsi="宋体"/>
                <w:szCs w:val="21"/>
              </w:rPr>
            </w:pPr>
            <w:r>
              <w:rPr>
                <w:rFonts w:hint="eastAsia" w:ascii="宋体" w:hAnsi="宋体"/>
                <w:szCs w:val="21"/>
              </w:rPr>
              <w:t xml:space="preserve">         分包金额要求:</w:t>
            </w:r>
          </w:p>
          <w:p>
            <w:pPr>
              <w:spacing w:line="400" w:lineRule="exact"/>
              <w:rPr>
                <w:rFonts w:ascii="宋体" w:hAnsi="宋体"/>
                <w:szCs w:val="21"/>
              </w:rPr>
            </w:pPr>
            <w:r>
              <w:rPr>
                <w:rFonts w:hint="eastAsia" w:ascii="宋体" w:hAnsi="宋体"/>
                <w:szCs w:val="21"/>
              </w:rPr>
              <w:t xml:space="preserve">         接受分包的第三人资质要求:</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540" w:type="dxa"/>
            <w:vAlign w:val="center"/>
          </w:tcPr>
          <w:p>
            <w:pPr>
              <w:spacing w:line="400" w:lineRule="exact"/>
              <w:jc w:val="center"/>
              <w:rPr>
                <w:rFonts w:ascii="宋体" w:hAnsi="宋体"/>
                <w:szCs w:val="21"/>
              </w:rPr>
            </w:pPr>
            <w:r>
              <w:rPr>
                <w:rFonts w:hint="eastAsia" w:ascii="宋体" w:hAnsi="宋体"/>
                <w:szCs w:val="21"/>
              </w:rPr>
              <w:t>20</w:t>
            </w:r>
          </w:p>
        </w:tc>
        <w:tc>
          <w:tcPr>
            <w:tcW w:w="644" w:type="dxa"/>
            <w:vAlign w:val="center"/>
          </w:tcPr>
          <w:p>
            <w:pPr>
              <w:spacing w:line="400" w:lineRule="exact"/>
              <w:jc w:val="center"/>
              <w:rPr>
                <w:rFonts w:ascii="宋体" w:hAnsi="宋体"/>
                <w:szCs w:val="21"/>
              </w:rPr>
            </w:pPr>
            <w:r>
              <w:rPr>
                <w:rFonts w:hint="eastAsia" w:ascii="宋体" w:hAnsi="宋体"/>
                <w:szCs w:val="21"/>
              </w:rPr>
              <w:t>2.1</w:t>
            </w:r>
          </w:p>
        </w:tc>
        <w:tc>
          <w:tcPr>
            <w:tcW w:w="2077" w:type="dxa"/>
            <w:vAlign w:val="center"/>
          </w:tcPr>
          <w:p>
            <w:pPr>
              <w:spacing w:line="400" w:lineRule="exact"/>
              <w:jc w:val="center"/>
              <w:rPr>
                <w:rFonts w:ascii="宋体" w:hAnsi="宋体"/>
                <w:szCs w:val="21"/>
              </w:rPr>
            </w:pPr>
            <w:r>
              <w:rPr>
                <w:rFonts w:hint="eastAsia" w:ascii="宋体" w:hAnsi="宋体"/>
                <w:szCs w:val="21"/>
              </w:rPr>
              <w:t>构成招标文件</w:t>
            </w:r>
          </w:p>
          <w:p>
            <w:pPr>
              <w:spacing w:line="400" w:lineRule="exact"/>
              <w:jc w:val="center"/>
              <w:rPr>
                <w:rFonts w:ascii="宋体" w:hAnsi="宋体"/>
                <w:szCs w:val="21"/>
              </w:rPr>
            </w:pPr>
            <w:r>
              <w:rPr>
                <w:rFonts w:hint="eastAsia" w:ascii="宋体" w:hAnsi="宋体"/>
                <w:szCs w:val="21"/>
              </w:rPr>
              <w:t>的其他材料</w:t>
            </w:r>
          </w:p>
        </w:tc>
        <w:tc>
          <w:tcPr>
            <w:tcW w:w="6240" w:type="dxa"/>
            <w:vAlign w:val="center"/>
          </w:tcPr>
          <w:p>
            <w:pPr>
              <w:spacing w:line="400" w:lineRule="exact"/>
              <w:rPr>
                <w:rFonts w:ascii="宋体" w:hAnsi="宋体"/>
                <w:szCs w:val="21"/>
              </w:rPr>
            </w:pPr>
            <w:r>
              <w:rPr>
                <w:rFonts w:hint="eastAsia" w:ascii="宋体" w:hAnsi="宋体"/>
                <w:szCs w:val="21"/>
              </w:rPr>
              <w:t>详见招标文件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2" w:hRule="atLeast"/>
        </w:trPr>
        <w:tc>
          <w:tcPr>
            <w:tcW w:w="540" w:type="dxa"/>
            <w:vAlign w:val="center"/>
          </w:tcPr>
          <w:p>
            <w:pPr>
              <w:spacing w:line="400" w:lineRule="exact"/>
              <w:jc w:val="center"/>
              <w:rPr>
                <w:rFonts w:ascii="宋体" w:hAnsi="宋体"/>
                <w:szCs w:val="21"/>
              </w:rPr>
            </w:pPr>
            <w:r>
              <w:rPr>
                <w:rFonts w:hint="eastAsia" w:ascii="宋体" w:hAnsi="宋体"/>
                <w:szCs w:val="21"/>
              </w:rPr>
              <w:t>21</w:t>
            </w:r>
          </w:p>
        </w:tc>
        <w:tc>
          <w:tcPr>
            <w:tcW w:w="644" w:type="dxa"/>
            <w:vAlign w:val="center"/>
          </w:tcPr>
          <w:p>
            <w:pPr>
              <w:spacing w:line="400" w:lineRule="exact"/>
              <w:jc w:val="center"/>
              <w:rPr>
                <w:rFonts w:ascii="宋体" w:hAnsi="宋体"/>
                <w:szCs w:val="21"/>
              </w:rPr>
            </w:pPr>
            <w:r>
              <w:rPr>
                <w:rFonts w:hint="eastAsia" w:ascii="宋体" w:hAnsi="宋体"/>
                <w:szCs w:val="21"/>
              </w:rPr>
              <w:t>2.2</w:t>
            </w:r>
          </w:p>
        </w:tc>
        <w:tc>
          <w:tcPr>
            <w:tcW w:w="2077" w:type="dxa"/>
            <w:vAlign w:val="center"/>
          </w:tcPr>
          <w:p>
            <w:pPr>
              <w:spacing w:line="400" w:lineRule="exact"/>
              <w:jc w:val="center"/>
              <w:rPr>
                <w:rFonts w:ascii="宋体" w:hAnsi="宋体"/>
                <w:szCs w:val="21"/>
              </w:rPr>
            </w:pPr>
            <w:r>
              <w:rPr>
                <w:rFonts w:hint="eastAsia" w:ascii="宋体" w:hAnsi="宋体"/>
                <w:szCs w:val="21"/>
              </w:rPr>
              <w:t>要求澄清的</w:t>
            </w:r>
            <w:r>
              <w:rPr>
                <w:rFonts w:ascii="宋体" w:hAnsi="宋体"/>
                <w:szCs w:val="21"/>
              </w:rPr>
              <w:t>截止时间</w:t>
            </w:r>
            <w:r>
              <w:rPr>
                <w:rFonts w:hint="eastAsia" w:ascii="宋体" w:hAnsi="宋体"/>
                <w:szCs w:val="21"/>
              </w:rPr>
              <w:t>、</w:t>
            </w:r>
            <w:r>
              <w:rPr>
                <w:rFonts w:ascii="宋体" w:hAnsi="宋体"/>
                <w:szCs w:val="21"/>
              </w:rPr>
              <w:t>递</w:t>
            </w:r>
            <w:r>
              <w:rPr>
                <w:rFonts w:hint="eastAsia" w:ascii="宋体" w:hAnsi="宋体"/>
                <w:szCs w:val="21"/>
              </w:rPr>
              <w:t>交方式</w:t>
            </w:r>
          </w:p>
        </w:tc>
        <w:tc>
          <w:tcPr>
            <w:tcW w:w="6240" w:type="dxa"/>
            <w:vAlign w:val="center"/>
          </w:tcPr>
          <w:p>
            <w:pPr>
              <w:spacing w:line="400" w:lineRule="exact"/>
              <w:rPr>
                <w:rFonts w:ascii="宋体" w:hAnsi="宋体"/>
                <w:szCs w:val="21"/>
              </w:rPr>
            </w:pPr>
            <w:r>
              <w:rPr>
                <w:rFonts w:hint="eastAsia" w:ascii="宋体" w:hAnsi="宋体"/>
                <w:szCs w:val="21"/>
              </w:rPr>
              <w:t>投标截止时间17天前</w:t>
            </w:r>
            <w:r>
              <w:rPr>
                <w:rFonts w:hint="eastAsia" w:ascii="宋体" w:hAnsi="宋体" w:cs="宋体"/>
                <w:szCs w:val="21"/>
              </w:rPr>
              <w:t>，</w:t>
            </w:r>
            <w:r>
              <w:rPr>
                <w:rFonts w:ascii="宋体" w:hAnsi="宋体"/>
                <w:szCs w:val="21"/>
              </w:rPr>
              <w:t>将电</w:t>
            </w:r>
            <w:r>
              <w:rPr>
                <w:rFonts w:hint="eastAsia" w:ascii="宋体" w:hAnsi="宋体"/>
                <w:szCs w:val="21"/>
              </w:rPr>
              <w:t>子版</w:t>
            </w:r>
            <w:r>
              <w:rPr>
                <w:rFonts w:ascii="宋体" w:hAnsi="宋体"/>
                <w:szCs w:val="21"/>
              </w:rPr>
              <w:t>、纸质</w:t>
            </w:r>
            <w:r>
              <w:rPr>
                <w:rFonts w:hint="eastAsia" w:ascii="宋体" w:hAnsi="宋体"/>
                <w:szCs w:val="21"/>
              </w:rPr>
              <w:t>版（加</w:t>
            </w:r>
            <w:r>
              <w:rPr>
                <w:rFonts w:ascii="宋体" w:hAnsi="宋体"/>
                <w:szCs w:val="21"/>
              </w:rPr>
              <w:t>盖</w:t>
            </w:r>
            <w:r>
              <w:rPr>
                <w:rFonts w:hint="eastAsia" w:ascii="宋体" w:hAnsi="宋体"/>
                <w:szCs w:val="21"/>
              </w:rPr>
              <w:t>公章</w:t>
            </w:r>
            <w:r>
              <w:rPr>
                <w:rFonts w:ascii="宋体" w:hAnsi="宋体"/>
                <w:szCs w:val="21"/>
              </w:rPr>
              <w:t>扫</w:t>
            </w:r>
            <w:r>
              <w:rPr>
                <w:rFonts w:hint="eastAsia" w:ascii="宋体" w:hAnsi="宋体"/>
                <w:szCs w:val="21"/>
              </w:rPr>
              <w:t>描件）疑问同</w:t>
            </w:r>
            <w:r>
              <w:rPr>
                <w:rFonts w:ascii="宋体" w:hAnsi="宋体"/>
                <w:szCs w:val="21"/>
              </w:rPr>
              <w:t>时</w:t>
            </w:r>
            <w:r>
              <w:rPr>
                <w:rFonts w:hint="eastAsia" w:ascii="宋体" w:hAnsi="宋体"/>
                <w:szCs w:val="21"/>
              </w:rPr>
              <w:t>提交招</w:t>
            </w:r>
            <w:r>
              <w:rPr>
                <w:rFonts w:ascii="宋体" w:hAnsi="宋体"/>
                <w:szCs w:val="21"/>
              </w:rPr>
              <w:t>标</w:t>
            </w:r>
            <w:r>
              <w:rPr>
                <w:rFonts w:hint="eastAsia" w:ascii="宋体" w:hAnsi="宋体"/>
                <w:szCs w:val="21"/>
              </w:rPr>
              <w:t>代理机构（</w:t>
            </w:r>
            <w:r>
              <w:rPr>
                <w:rFonts w:ascii="宋体" w:hAnsi="宋体"/>
                <w:szCs w:val="21"/>
              </w:rPr>
              <w:t>邮</w:t>
            </w:r>
            <w:r>
              <w:rPr>
                <w:rFonts w:hint="eastAsia" w:ascii="宋体" w:hAnsi="宋体"/>
                <w:szCs w:val="21"/>
              </w:rPr>
              <w:t>箱</w:t>
            </w:r>
            <w:r>
              <w:rPr>
                <w:rFonts w:ascii="宋体" w:hAnsi="宋体"/>
                <w:szCs w:val="21"/>
              </w:rPr>
              <w:t>1812777569@qq.com</w:t>
            </w:r>
            <w:r>
              <w:rPr>
                <w:rFonts w:hint="eastAsia" w:ascii="宋体" w:hAnsi="宋体"/>
                <w:szCs w:val="21"/>
              </w:rPr>
              <w:t>）</w:t>
            </w:r>
            <w:r>
              <w:rPr>
                <w:rFonts w:hint="eastAsia" w:ascii="宋体" w:hAnsi="宋体" w:cs="宋体"/>
                <w:szCs w:val="21"/>
              </w:rPr>
              <w:t>并及时通知招标代理机构，电话：</w:t>
            </w:r>
            <w:r>
              <w:rPr>
                <w:rFonts w:ascii="宋体" w:hAnsi="宋体" w:cs="宋体"/>
                <w:szCs w:val="21"/>
              </w:rPr>
              <w:t>0551-</w:t>
            </w:r>
            <w:r>
              <w:rPr>
                <w:rFonts w:hint="eastAsia" w:ascii="宋体" w:hAnsi="宋体" w:cs="宋体"/>
                <w:szCs w:val="21"/>
              </w:rPr>
              <w:t>62612638、13339192608，</w:t>
            </w:r>
            <w:r>
              <w:rPr>
                <w:rFonts w:hint="eastAsia" w:ascii="宋体" w:hAnsi="宋体"/>
                <w:szCs w:val="21"/>
              </w:rPr>
              <w:t>过期不候</w:t>
            </w:r>
          </w:p>
          <w:p>
            <w:pPr>
              <w:spacing w:line="400" w:lineRule="exact"/>
              <w:rPr>
                <w:rFonts w:ascii="宋体" w:hAnsi="宋体"/>
                <w:szCs w:val="21"/>
              </w:rPr>
            </w:pPr>
            <w:r>
              <w:rPr>
                <w:rFonts w:hint="eastAsia" w:ascii="宋体" w:hAnsi="宋体"/>
                <w:b/>
              </w:rPr>
              <w:t>在规定答疑时间内，各投标人未对招标文件条款提出疑问的，凡在评审过程中涉及到的任何评审争议均以招标人（招标代理机构）解释为准。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trPr>
        <w:tc>
          <w:tcPr>
            <w:tcW w:w="540" w:type="dxa"/>
            <w:vAlign w:val="center"/>
          </w:tcPr>
          <w:p>
            <w:pPr>
              <w:spacing w:line="400" w:lineRule="exact"/>
              <w:jc w:val="center"/>
              <w:rPr>
                <w:rFonts w:ascii="宋体" w:hAnsi="宋体"/>
                <w:szCs w:val="21"/>
              </w:rPr>
            </w:pPr>
            <w:r>
              <w:rPr>
                <w:rFonts w:hint="eastAsia" w:ascii="宋体" w:hAnsi="宋体"/>
                <w:szCs w:val="21"/>
              </w:rPr>
              <w:t>22</w:t>
            </w:r>
          </w:p>
        </w:tc>
        <w:tc>
          <w:tcPr>
            <w:tcW w:w="644" w:type="dxa"/>
            <w:vAlign w:val="center"/>
          </w:tcPr>
          <w:p>
            <w:pPr>
              <w:spacing w:line="400" w:lineRule="exact"/>
              <w:jc w:val="center"/>
              <w:rPr>
                <w:rFonts w:ascii="宋体" w:hAnsi="宋体"/>
                <w:szCs w:val="21"/>
              </w:rPr>
            </w:pPr>
            <w:r>
              <w:rPr>
                <w:rFonts w:hint="eastAsia" w:ascii="宋体" w:hAnsi="宋体"/>
                <w:szCs w:val="21"/>
              </w:rPr>
              <w:t>2.2</w:t>
            </w:r>
          </w:p>
        </w:tc>
        <w:tc>
          <w:tcPr>
            <w:tcW w:w="2077" w:type="dxa"/>
            <w:vAlign w:val="center"/>
          </w:tcPr>
          <w:p>
            <w:pPr>
              <w:spacing w:line="400" w:lineRule="exact"/>
              <w:jc w:val="center"/>
              <w:rPr>
                <w:rFonts w:ascii="宋体" w:hAnsi="宋体"/>
                <w:szCs w:val="21"/>
              </w:rPr>
            </w:pPr>
            <w:r>
              <w:rPr>
                <w:rFonts w:hint="eastAsia" w:ascii="宋体" w:hAnsi="宋体"/>
                <w:szCs w:val="21"/>
              </w:rPr>
              <w:t>招</w:t>
            </w:r>
            <w:r>
              <w:rPr>
                <w:rFonts w:ascii="宋体" w:hAnsi="宋体"/>
                <w:szCs w:val="21"/>
              </w:rPr>
              <w:t>标</w:t>
            </w:r>
            <w:r>
              <w:rPr>
                <w:rFonts w:hint="eastAsia" w:ascii="宋体" w:hAnsi="宋体"/>
                <w:szCs w:val="21"/>
              </w:rPr>
              <w:t>人澄清、修改</w:t>
            </w:r>
            <w:r>
              <w:rPr>
                <w:rFonts w:ascii="宋体" w:hAnsi="宋体"/>
                <w:szCs w:val="21"/>
              </w:rPr>
              <w:t>的文件发</w:t>
            </w:r>
            <w:r>
              <w:rPr>
                <w:rFonts w:hint="eastAsia" w:ascii="宋体" w:hAnsi="宋体"/>
                <w:szCs w:val="21"/>
              </w:rPr>
              <w:t>布形式、</w:t>
            </w:r>
            <w:r>
              <w:rPr>
                <w:rFonts w:ascii="宋体" w:hAnsi="宋体"/>
                <w:szCs w:val="21"/>
              </w:rPr>
              <w:t>时间</w:t>
            </w:r>
          </w:p>
        </w:tc>
        <w:tc>
          <w:tcPr>
            <w:tcW w:w="6240" w:type="dxa"/>
          </w:tcPr>
          <w:p>
            <w:pPr>
              <w:spacing w:line="400" w:lineRule="exact"/>
              <w:rPr>
                <w:rFonts w:ascii="宋体" w:hAnsi="宋体"/>
                <w:szCs w:val="21"/>
              </w:rPr>
            </w:pPr>
            <w:r>
              <w:rPr>
                <w:rFonts w:hint="eastAsia" w:ascii="宋体" w:hAnsi="宋体"/>
                <w:szCs w:val="21"/>
              </w:rPr>
              <w:t>澄清</w:t>
            </w:r>
            <w:r>
              <w:rPr>
                <w:rFonts w:ascii="宋体" w:hAnsi="宋体"/>
                <w:szCs w:val="21"/>
              </w:rPr>
              <w:t>时间</w:t>
            </w:r>
            <w:r>
              <w:rPr>
                <w:rFonts w:hint="eastAsia" w:ascii="宋体" w:hAnsi="宋体"/>
                <w:szCs w:val="21"/>
              </w:rPr>
              <w:t>：投</w:t>
            </w:r>
            <w:r>
              <w:rPr>
                <w:rFonts w:ascii="宋体" w:hAnsi="宋体"/>
                <w:szCs w:val="21"/>
              </w:rPr>
              <w:t>标</w:t>
            </w:r>
            <w:r>
              <w:rPr>
                <w:rFonts w:hint="eastAsia" w:ascii="宋体" w:hAnsi="宋体"/>
                <w:szCs w:val="21"/>
              </w:rPr>
              <w:t>截止</w:t>
            </w:r>
            <w:r>
              <w:rPr>
                <w:rFonts w:ascii="宋体" w:hAnsi="宋体"/>
                <w:szCs w:val="21"/>
              </w:rPr>
              <w:t>15</w:t>
            </w:r>
            <w:r>
              <w:rPr>
                <w:rFonts w:hint="eastAsia" w:ascii="宋体" w:hAnsi="宋体"/>
                <w:szCs w:val="21"/>
              </w:rPr>
              <w:t xml:space="preserve">日前 </w:t>
            </w:r>
          </w:p>
          <w:p>
            <w:pPr>
              <w:spacing w:line="400" w:lineRule="exact"/>
              <w:jc w:val="left"/>
              <w:rPr>
                <w:rFonts w:ascii="宋体" w:hAnsi="宋体"/>
                <w:szCs w:val="21"/>
              </w:rPr>
            </w:pPr>
            <w:r>
              <w:rPr>
                <w:rFonts w:ascii="宋体" w:hAnsi="宋体"/>
                <w:szCs w:val="21"/>
              </w:rPr>
              <w:t>纸质</w:t>
            </w:r>
            <w:r>
              <w:rPr>
                <w:rFonts w:hint="eastAsia" w:ascii="宋体" w:hAnsi="宋体"/>
                <w:szCs w:val="21"/>
              </w:rPr>
              <w:t>版澄清文件原件，</w:t>
            </w:r>
            <w:r>
              <w:rPr>
                <w:rFonts w:ascii="宋体" w:hAnsi="宋体"/>
                <w:szCs w:val="21"/>
              </w:rPr>
              <w:t>请</w:t>
            </w:r>
            <w:r>
              <w:rPr>
                <w:rFonts w:hint="eastAsia" w:ascii="宋体" w:hAnsi="宋体"/>
                <w:szCs w:val="21"/>
              </w:rPr>
              <w:t>投</w:t>
            </w:r>
            <w:r>
              <w:rPr>
                <w:rFonts w:ascii="宋体" w:hAnsi="宋体"/>
                <w:szCs w:val="21"/>
              </w:rPr>
              <w:t>标</w:t>
            </w:r>
            <w:r>
              <w:rPr>
                <w:rFonts w:hint="eastAsia" w:ascii="宋体" w:hAnsi="宋体"/>
                <w:szCs w:val="21"/>
              </w:rPr>
              <w:t>人按</w:t>
            </w:r>
            <w:r>
              <w:rPr>
                <w:rFonts w:ascii="宋体" w:hAnsi="宋体"/>
                <w:szCs w:val="21"/>
              </w:rPr>
              <w:t>时</w:t>
            </w:r>
            <w:r>
              <w:rPr>
                <w:rFonts w:hint="eastAsia" w:ascii="宋体" w:hAnsi="宋体"/>
                <w:szCs w:val="21"/>
              </w:rPr>
              <w:t>到五</w:t>
            </w:r>
            <w:r>
              <w:rPr>
                <w:rFonts w:ascii="宋体" w:hAnsi="宋体"/>
                <w:szCs w:val="21"/>
              </w:rPr>
              <w:t>矿国际招标有</w:t>
            </w:r>
            <w:r>
              <w:rPr>
                <w:rFonts w:hint="eastAsia" w:ascii="宋体" w:hAnsi="宋体"/>
                <w:szCs w:val="21"/>
              </w:rPr>
              <w:t>限</w:t>
            </w:r>
            <w:r>
              <w:rPr>
                <w:rFonts w:ascii="宋体" w:hAnsi="宋体"/>
                <w:szCs w:val="21"/>
              </w:rPr>
              <w:t>责</w:t>
            </w:r>
            <w:r>
              <w:rPr>
                <w:rFonts w:hint="eastAsia" w:ascii="宋体" w:hAnsi="宋体"/>
                <w:szCs w:val="21"/>
              </w:rPr>
              <w:t>任公司安徽招投标中心</w:t>
            </w:r>
            <w:r>
              <w:rPr>
                <w:rFonts w:ascii="宋体" w:hAnsi="宋体"/>
                <w:szCs w:val="21"/>
              </w:rPr>
              <w:t>领</w:t>
            </w:r>
            <w:r>
              <w:rPr>
                <w:rFonts w:hint="eastAsia" w:ascii="宋体" w:hAnsi="宋体"/>
                <w:szCs w:val="21"/>
              </w:rPr>
              <w:t>取并</w:t>
            </w:r>
            <w:r>
              <w:rPr>
                <w:rFonts w:ascii="宋体" w:hAnsi="宋体"/>
                <w:szCs w:val="21"/>
              </w:rPr>
              <w:t>签</w:t>
            </w:r>
            <w:r>
              <w:rPr>
                <w:rFonts w:hint="eastAsia" w:ascii="宋体" w:hAnsi="宋体"/>
                <w:szCs w:val="21"/>
              </w:rPr>
              <w:t>字确</w:t>
            </w:r>
            <w:r>
              <w:rPr>
                <w:rFonts w:ascii="宋体" w:hAnsi="宋体"/>
                <w:szCs w:val="21"/>
              </w:rPr>
              <w:t>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540" w:type="dxa"/>
            <w:vAlign w:val="center"/>
          </w:tcPr>
          <w:p>
            <w:pPr>
              <w:spacing w:line="400" w:lineRule="exact"/>
              <w:jc w:val="center"/>
              <w:rPr>
                <w:rFonts w:ascii="宋体" w:hAnsi="宋体"/>
                <w:szCs w:val="21"/>
              </w:rPr>
            </w:pPr>
            <w:r>
              <w:rPr>
                <w:rFonts w:hint="eastAsia" w:ascii="宋体" w:hAnsi="宋体"/>
                <w:szCs w:val="21"/>
              </w:rPr>
              <w:t>23</w:t>
            </w:r>
          </w:p>
        </w:tc>
        <w:tc>
          <w:tcPr>
            <w:tcW w:w="644" w:type="dxa"/>
            <w:vAlign w:val="center"/>
          </w:tcPr>
          <w:p>
            <w:pPr>
              <w:spacing w:line="400" w:lineRule="exact"/>
              <w:jc w:val="center"/>
              <w:rPr>
                <w:rFonts w:ascii="宋体" w:hAnsi="宋体"/>
                <w:szCs w:val="21"/>
              </w:rPr>
            </w:pPr>
            <w:r>
              <w:rPr>
                <w:rFonts w:hint="eastAsia" w:ascii="宋体" w:hAnsi="宋体"/>
                <w:szCs w:val="21"/>
              </w:rPr>
              <w:t>3.1</w:t>
            </w:r>
          </w:p>
        </w:tc>
        <w:tc>
          <w:tcPr>
            <w:tcW w:w="2077" w:type="dxa"/>
            <w:vAlign w:val="center"/>
          </w:tcPr>
          <w:p>
            <w:pPr>
              <w:spacing w:line="400" w:lineRule="exact"/>
              <w:jc w:val="center"/>
              <w:rPr>
                <w:rFonts w:ascii="宋体" w:hAnsi="宋体"/>
                <w:szCs w:val="21"/>
              </w:rPr>
            </w:pPr>
            <w:r>
              <w:rPr>
                <w:rFonts w:hint="eastAsia" w:ascii="宋体" w:hAnsi="宋体"/>
                <w:szCs w:val="21"/>
              </w:rPr>
              <w:t>构成投标文件的其他材料</w:t>
            </w:r>
          </w:p>
        </w:tc>
        <w:tc>
          <w:tcPr>
            <w:tcW w:w="6240" w:type="dxa"/>
            <w:vAlign w:val="center"/>
          </w:tcPr>
          <w:p>
            <w:pPr>
              <w:spacing w:line="400" w:lineRule="exact"/>
              <w:rPr>
                <w:rFonts w:ascii="宋体" w:hAnsi="宋体"/>
                <w:szCs w:val="21"/>
              </w:rPr>
            </w:pPr>
            <w:r>
              <w:rPr>
                <w:rFonts w:hint="eastAsia" w:ascii="宋体" w:hAnsi="宋体"/>
                <w:szCs w:val="21"/>
              </w:rPr>
              <w:t>详见招标文件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540" w:type="dxa"/>
            <w:vAlign w:val="center"/>
          </w:tcPr>
          <w:p>
            <w:pPr>
              <w:spacing w:line="400" w:lineRule="exact"/>
              <w:jc w:val="center"/>
              <w:rPr>
                <w:rFonts w:ascii="宋体" w:hAnsi="宋体"/>
                <w:szCs w:val="21"/>
              </w:rPr>
            </w:pPr>
            <w:r>
              <w:rPr>
                <w:rFonts w:hint="eastAsia" w:ascii="宋体" w:hAnsi="宋体"/>
                <w:szCs w:val="21"/>
              </w:rPr>
              <w:t>24</w:t>
            </w:r>
          </w:p>
        </w:tc>
        <w:tc>
          <w:tcPr>
            <w:tcW w:w="644" w:type="dxa"/>
            <w:vAlign w:val="center"/>
          </w:tcPr>
          <w:p>
            <w:pPr>
              <w:spacing w:line="400" w:lineRule="exact"/>
              <w:jc w:val="center"/>
              <w:rPr>
                <w:rFonts w:ascii="宋体" w:hAnsi="宋体"/>
                <w:szCs w:val="21"/>
              </w:rPr>
            </w:pPr>
            <w:r>
              <w:rPr>
                <w:rFonts w:hint="eastAsia" w:ascii="宋体" w:hAnsi="宋体"/>
                <w:szCs w:val="21"/>
              </w:rPr>
              <w:t>3.3</w:t>
            </w:r>
          </w:p>
        </w:tc>
        <w:tc>
          <w:tcPr>
            <w:tcW w:w="2077" w:type="dxa"/>
            <w:vAlign w:val="center"/>
          </w:tcPr>
          <w:p>
            <w:pPr>
              <w:spacing w:line="400" w:lineRule="exact"/>
              <w:jc w:val="center"/>
              <w:rPr>
                <w:rFonts w:ascii="宋体" w:hAnsi="宋体"/>
                <w:szCs w:val="21"/>
              </w:rPr>
            </w:pPr>
            <w:r>
              <w:rPr>
                <w:rFonts w:hint="eastAsia" w:ascii="宋体" w:hAnsi="宋体"/>
                <w:szCs w:val="21"/>
              </w:rPr>
              <w:t>投标有效期</w:t>
            </w:r>
          </w:p>
        </w:tc>
        <w:tc>
          <w:tcPr>
            <w:tcW w:w="6240" w:type="dxa"/>
            <w:vAlign w:val="center"/>
          </w:tcPr>
          <w:p>
            <w:pPr>
              <w:spacing w:line="400" w:lineRule="exact"/>
              <w:rPr>
                <w:rFonts w:ascii="宋体" w:hAnsi="宋体"/>
                <w:szCs w:val="21"/>
              </w:rPr>
            </w:pPr>
            <w:r>
              <w:rPr>
                <w:rFonts w:hint="eastAsia" w:ascii="宋体" w:hAnsi="宋体"/>
                <w:szCs w:val="21"/>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40" w:type="dxa"/>
            <w:vAlign w:val="center"/>
          </w:tcPr>
          <w:p>
            <w:pPr>
              <w:spacing w:line="400" w:lineRule="exact"/>
              <w:jc w:val="center"/>
              <w:rPr>
                <w:rFonts w:ascii="宋体" w:hAnsi="宋体"/>
                <w:szCs w:val="21"/>
              </w:rPr>
            </w:pPr>
            <w:r>
              <w:rPr>
                <w:rFonts w:hint="eastAsia" w:ascii="宋体" w:hAnsi="宋体"/>
                <w:szCs w:val="21"/>
              </w:rPr>
              <w:t xml:space="preserve"> 25</w:t>
            </w:r>
          </w:p>
        </w:tc>
        <w:tc>
          <w:tcPr>
            <w:tcW w:w="644" w:type="dxa"/>
            <w:vAlign w:val="center"/>
          </w:tcPr>
          <w:p>
            <w:pPr>
              <w:spacing w:line="400" w:lineRule="exact"/>
              <w:jc w:val="center"/>
              <w:rPr>
                <w:rFonts w:ascii="宋体" w:hAnsi="宋体"/>
                <w:szCs w:val="21"/>
              </w:rPr>
            </w:pPr>
            <w:r>
              <w:rPr>
                <w:rFonts w:hint="eastAsia" w:ascii="宋体" w:hAnsi="宋体"/>
                <w:szCs w:val="21"/>
              </w:rPr>
              <w:t>3.4</w:t>
            </w:r>
          </w:p>
        </w:tc>
        <w:tc>
          <w:tcPr>
            <w:tcW w:w="2077" w:type="dxa"/>
            <w:vAlign w:val="center"/>
          </w:tcPr>
          <w:p>
            <w:pPr>
              <w:spacing w:line="400" w:lineRule="exact"/>
              <w:jc w:val="center"/>
              <w:rPr>
                <w:rFonts w:ascii="宋体" w:hAnsi="宋体"/>
                <w:szCs w:val="21"/>
              </w:rPr>
            </w:pPr>
            <w:r>
              <w:rPr>
                <w:rFonts w:hint="eastAsia" w:ascii="宋体" w:hAnsi="宋体"/>
                <w:szCs w:val="21"/>
              </w:rPr>
              <w:t>投标保证金</w:t>
            </w:r>
          </w:p>
        </w:tc>
        <w:tc>
          <w:tcPr>
            <w:tcW w:w="6240" w:type="dxa"/>
            <w:vAlign w:val="center"/>
          </w:tcPr>
          <w:p>
            <w:pPr>
              <w:spacing w:line="400" w:lineRule="exact"/>
              <w:rPr>
                <w:rFonts w:ascii="宋体" w:hAnsi="宋体"/>
                <w:szCs w:val="21"/>
              </w:rPr>
            </w:pPr>
            <w:r>
              <w:rPr>
                <w:rFonts w:hint="eastAsia" w:ascii="宋体" w:hAnsi="宋体"/>
                <w:szCs w:val="21"/>
              </w:rPr>
              <w:t>数额：人民币</w:t>
            </w:r>
            <w:r>
              <w:rPr>
                <w:rFonts w:hint="eastAsia" w:ascii="宋体" w:hAnsi="宋体"/>
                <w:szCs w:val="21"/>
                <w:u w:val="single"/>
              </w:rPr>
              <w:t xml:space="preserve"> </w:t>
            </w:r>
            <w:r>
              <w:rPr>
                <w:rFonts w:hint="eastAsia" w:ascii="宋体" w:hAnsi="宋体"/>
                <w:color w:val="auto"/>
                <w:szCs w:val="21"/>
                <w:u w:val="single"/>
                <w:lang w:eastAsia="zh-CN"/>
              </w:rPr>
              <w:t>壹万叁仟</w:t>
            </w:r>
            <w:r>
              <w:rPr>
                <w:rFonts w:hint="eastAsia" w:ascii="宋体" w:hAnsi="宋体"/>
                <w:szCs w:val="21"/>
                <w:u w:val="single"/>
              </w:rPr>
              <w:t xml:space="preserve"> </w:t>
            </w:r>
            <w:r>
              <w:rPr>
                <w:rFonts w:hint="eastAsia" w:ascii="宋体" w:hAnsi="宋体"/>
                <w:szCs w:val="21"/>
              </w:rPr>
              <w:t>元整（</w:t>
            </w:r>
            <w:r>
              <w:rPr>
                <w:rFonts w:hint="eastAsia" w:ascii="宋体" w:hAnsi="宋体" w:cs="宋体"/>
                <w:szCs w:val="21"/>
              </w:rPr>
              <w:t>¥</w:t>
            </w:r>
            <w:r>
              <w:rPr>
                <w:rFonts w:hint="eastAsia" w:ascii="宋体" w:hAnsi="宋体" w:cs="宋体"/>
                <w:szCs w:val="21"/>
                <w:lang w:val="en-US" w:eastAsia="zh-CN"/>
              </w:rPr>
              <w:t>13</w:t>
            </w:r>
            <w:r>
              <w:rPr>
                <w:rFonts w:hint="eastAsia" w:ascii="宋体" w:hAnsi="宋体" w:cs="宋体"/>
                <w:szCs w:val="21"/>
              </w:rPr>
              <w:t>000.00</w:t>
            </w:r>
            <w:r>
              <w:rPr>
                <w:rFonts w:hint="eastAsia" w:ascii="Arial" w:hAnsi="Arial" w:cs="Arial"/>
                <w:szCs w:val="21"/>
              </w:rPr>
              <w:t xml:space="preserve"> </w:t>
            </w:r>
            <w:r>
              <w:rPr>
                <w:rFonts w:hint="eastAsia" w:ascii="宋体" w:hAnsi="宋体"/>
                <w:szCs w:val="21"/>
              </w:rPr>
              <w:t>）</w:t>
            </w:r>
          </w:p>
          <w:p>
            <w:pPr>
              <w:spacing w:line="400" w:lineRule="exact"/>
              <w:rPr>
                <w:rFonts w:ascii="宋体" w:hAnsi="宋体"/>
                <w:szCs w:val="21"/>
              </w:rPr>
            </w:pPr>
            <w:r>
              <w:rPr>
                <w:rFonts w:hint="eastAsia" w:ascii="宋体" w:hAnsi="宋体"/>
                <w:szCs w:val="21"/>
              </w:rPr>
              <w:t>提交时间：</w:t>
            </w:r>
            <w:r>
              <w:rPr>
                <w:rFonts w:hint="eastAsia" w:ascii="宋体" w:hAnsi="宋体"/>
                <w:szCs w:val="21"/>
                <w:u w:val="single"/>
              </w:rPr>
              <w:t xml:space="preserve"> 2022</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12 </w:t>
            </w:r>
            <w:r>
              <w:rPr>
                <w:rFonts w:hint="eastAsia" w:ascii="宋体" w:hAnsi="宋体"/>
                <w:szCs w:val="21"/>
              </w:rPr>
              <w:t>月</w:t>
            </w:r>
            <w:r>
              <w:rPr>
                <w:rFonts w:hint="eastAsia" w:ascii="宋体" w:hAnsi="宋体"/>
                <w:szCs w:val="21"/>
                <w:u w:val="single"/>
                <w:lang w:val="en-US" w:eastAsia="zh-CN"/>
              </w:rPr>
              <w:t xml:space="preserve"> 27 </w:t>
            </w:r>
            <w:r>
              <w:rPr>
                <w:rFonts w:hint="eastAsia" w:ascii="宋体" w:hAnsi="宋体"/>
                <w:szCs w:val="21"/>
              </w:rPr>
              <w:t>日</w:t>
            </w:r>
            <w:r>
              <w:rPr>
                <w:rFonts w:hint="eastAsia" w:ascii="宋体" w:hAnsi="宋体"/>
                <w:szCs w:val="21"/>
                <w:u w:val="single"/>
              </w:rPr>
              <w:t xml:space="preserve"> 11:00 </w:t>
            </w:r>
            <w:r>
              <w:rPr>
                <w:rFonts w:hint="eastAsia" w:ascii="宋体" w:hAnsi="宋体"/>
                <w:szCs w:val="21"/>
              </w:rPr>
              <w:t>前到账。</w:t>
            </w:r>
          </w:p>
          <w:p>
            <w:pPr>
              <w:spacing w:line="400" w:lineRule="exact"/>
              <w:rPr>
                <w:rFonts w:ascii="宋体" w:hAnsi="宋体"/>
                <w:szCs w:val="21"/>
              </w:rPr>
            </w:pPr>
            <w:r>
              <w:rPr>
                <w:rFonts w:hint="eastAsia" w:ascii="宋体" w:hAnsi="宋体"/>
                <w:szCs w:val="21"/>
              </w:rPr>
              <w:t>提交方式：采用电汇或转帐方式，不接受现金，须从投标人基本账户上提交，投标保证金银行汇单上应注明本项目招标编号（WKZB2212AHJB12252）。</w:t>
            </w:r>
          </w:p>
          <w:p>
            <w:pPr>
              <w:spacing w:line="380" w:lineRule="exact"/>
              <w:rPr>
                <w:rFonts w:ascii="宋体" w:hAnsi="宋体" w:cs="宋体"/>
                <w:kern w:val="0"/>
                <w:szCs w:val="21"/>
              </w:rPr>
            </w:pPr>
            <w:r>
              <w:rPr>
                <w:rFonts w:hint="eastAsia" w:ascii="宋体" w:hAnsi="宋体" w:cs="宋体"/>
                <w:kern w:val="0"/>
                <w:szCs w:val="21"/>
              </w:rPr>
              <w:t>户  名：五矿国际招标有限责任公司安徽招投标中心</w:t>
            </w:r>
          </w:p>
          <w:p>
            <w:pPr>
              <w:spacing w:line="380" w:lineRule="exact"/>
              <w:rPr>
                <w:rFonts w:ascii="宋体" w:hAnsi="宋体" w:cs="宋体"/>
                <w:kern w:val="0"/>
                <w:szCs w:val="21"/>
              </w:rPr>
            </w:pPr>
            <w:r>
              <w:rPr>
                <w:rFonts w:hint="eastAsia" w:ascii="宋体" w:hAnsi="宋体" w:cs="宋体"/>
                <w:kern w:val="0"/>
                <w:szCs w:val="21"/>
              </w:rPr>
              <w:t xml:space="preserve">开户行：交通银行安徽省分行                          </w:t>
            </w:r>
          </w:p>
          <w:p>
            <w:pPr>
              <w:spacing w:line="380" w:lineRule="exact"/>
              <w:rPr>
                <w:rFonts w:ascii="宋体" w:hAnsi="宋体"/>
                <w:color w:val="000000"/>
                <w:kern w:val="0"/>
                <w:szCs w:val="21"/>
              </w:rPr>
            </w:pPr>
            <w:r>
              <w:rPr>
                <w:rFonts w:hint="eastAsia" w:ascii="宋体" w:hAnsi="宋体" w:cs="宋体"/>
                <w:kern w:val="0"/>
                <w:szCs w:val="21"/>
              </w:rPr>
              <w:t>账  号: 3413 0100 0013 0006 18384</w:t>
            </w:r>
            <w:r>
              <w:rPr>
                <w:rFonts w:hint="eastAsia" w:ascii="宋体" w:hAnsi="宋体"/>
                <w:color w:val="000000"/>
                <w:kern w:val="0"/>
                <w:szCs w:val="21"/>
              </w:rPr>
              <w:t xml:space="preserve">  </w:t>
            </w:r>
          </w:p>
          <w:p>
            <w:pPr>
              <w:spacing w:line="360" w:lineRule="exact"/>
              <w:rPr>
                <w:rFonts w:ascii="宋体" w:hAnsi="宋体"/>
                <w:kern w:val="0"/>
                <w:szCs w:val="21"/>
              </w:rPr>
            </w:pPr>
            <w:r>
              <w:rPr>
                <w:rFonts w:hint="eastAsia" w:ascii="宋体" w:hAnsi="宋体"/>
                <w:kern w:val="0"/>
                <w:szCs w:val="21"/>
              </w:rPr>
              <w:t>注：中</w:t>
            </w:r>
            <w:r>
              <w:rPr>
                <w:rFonts w:ascii="宋体" w:hAnsi="宋体"/>
                <w:kern w:val="0"/>
                <w:szCs w:val="21"/>
              </w:rPr>
              <w:t>标</w:t>
            </w:r>
            <w:r>
              <w:rPr>
                <w:rFonts w:hint="eastAsia" w:ascii="宋体" w:hAnsi="宋体"/>
                <w:kern w:val="0"/>
                <w:szCs w:val="21"/>
              </w:rPr>
              <w:t>人的投</w:t>
            </w:r>
            <w:r>
              <w:rPr>
                <w:rFonts w:ascii="宋体" w:hAnsi="宋体"/>
                <w:kern w:val="0"/>
                <w:szCs w:val="21"/>
              </w:rPr>
              <w:t>标</w:t>
            </w:r>
            <w:r>
              <w:rPr>
                <w:rFonts w:hint="eastAsia" w:ascii="宋体" w:hAnsi="宋体"/>
                <w:kern w:val="0"/>
                <w:szCs w:val="21"/>
              </w:rPr>
              <w:t>保</w:t>
            </w:r>
            <w:r>
              <w:rPr>
                <w:rFonts w:ascii="宋体" w:hAnsi="宋体"/>
                <w:kern w:val="0"/>
                <w:szCs w:val="21"/>
              </w:rPr>
              <w:t>证金</w:t>
            </w:r>
            <w:r>
              <w:rPr>
                <w:rFonts w:hint="eastAsia" w:ascii="宋体" w:hAnsi="宋体"/>
                <w:kern w:val="0"/>
                <w:szCs w:val="21"/>
              </w:rPr>
              <w:t>在与招</w:t>
            </w:r>
            <w:r>
              <w:rPr>
                <w:rFonts w:ascii="宋体" w:hAnsi="宋体"/>
                <w:kern w:val="0"/>
                <w:szCs w:val="21"/>
              </w:rPr>
              <w:t>标</w:t>
            </w:r>
            <w:r>
              <w:rPr>
                <w:rFonts w:hint="eastAsia" w:ascii="宋体" w:hAnsi="宋体"/>
                <w:kern w:val="0"/>
                <w:szCs w:val="21"/>
              </w:rPr>
              <w:t>人</w:t>
            </w:r>
            <w:r>
              <w:rPr>
                <w:rFonts w:ascii="宋体" w:hAnsi="宋体"/>
                <w:kern w:val="0"/>
                <w:szCs w:val="21"/>
              </w:rPr>
              <w:t>签</w:t>
            </w:r>
            <w:r>
              <w:rPr>
                <w:rFonts w:hAnsi="宋体"/>
                <w:szCs w:val="21"/>
              </w:rPr>
              <w:t>订</w:t>
            </w:r>
            <w:r>
              <w:rPr>
                <w:rFonts w:hint="eastAsia" w:hAnsi="宋体"/>
                <w:szCs w:val="21"/>
              </w:rPr>
              <w:t>合同并已</w:t>
            </w:r>
            <w:r>
              <w:rPr>
                <w:rFonts w:hAnsi="宋体"/>
                <w:szCs w:val="21"/>
              </w:rPr>
              <w:t>缴纳</w:t>
            </w:r>
            <w:r>
              <w:rPr>
                <w:rFonts w:hint="eastAsia" w:hAnsi="宋体"/>
                <w:szCs w:val="21"/>
              </w:rPr>
              <w:t>招</w:t>
            </w:r>
            <w:r>
              <w:rPr>
                <w:rFonts w:hAnsi="宋体"/>
                <w:szCs w:val="21"/>
              </w:rPr>
              <w:t>标</w:t>
            </w:r>
            <w:r>
              <w:rPr>
                <w:rFonts w:hint="eastAsia" w:hAnsi="宋体"/>
                <w:szCs w:val="21"/>
              </w:rPr>
              <w:t>代理服</w:t>
            </w:r>
            <w:r>
              <w:rPr>
                <w:rFonts w:hAnsi="宋体"/>
                <w:szCs w:val="21"/>
              </w:rPr>
              <w:t>务费</w:t>
            </w:r>
            <w:r>
              <w:rPr>
                <w:rFonts w:hint="eastAsia" w:hAnsi="宋体"/>
                <w:szCs w:val="21"/>
              </w:rPr>
              <w:t>后</w:t>
            </w:r>
            <w:r>
              <w:rPr>
                <w:rFonts w:hAnsi="宋体"/>
                <w:szCs w:val="21"/>
              </w:rPr>
              <w:t>无</w:t>
            </w:r>
            <w:r>
              <w:rPr>
                <w:rFonts w:hint="eastAsia" w:hAnsi="宋体"/>
                <w:szCs w:val="21"/>
              </w:rPr>
              <w:t>息退</w:t>
            </w:r>
            <w:r>
              <w:rPr>
                <w:rFonts w:hAnsi="宋体"/>
                <w:szCs w:val="21"/>
              </w:rPr>
              <w:t>还</w:t>
            </w:r>
            <w:r>
              <w:rPr>
                <w:rFonts w:hint="eastAsia" w:hAnsi="宋体"/>
                <w:szCs w:val="21"/>
              </w:rPr>
              <w:t>；</w:t>
            </w:r>
            <w:r>
              <w:rPr>
                <w:rFonts w:hint="eastAsia" w:ascii="宋体" w:hAnsi="宋体"/>
                <w:kern w:val="0"/>
                <w:szCs w:val="21"/>
              </w:rPr>
              <w:t>未中</w:t>
            </w:r>
            <w:r>
              <w:rPr>
                <w:rFonts w:ascii="宋体" w:hAnsi="宋体"/>
                <w:kern w:val="0"/>
                <w:szCs w:val="21"/>
              </w:rPr>
              <w:t>标</w:t>
            </w:r>
            <w:r>
              <w:rPr>
                <w:rFonts w:hint="eastAsia" w:ascii="宋体" w:hAnsi="宋体"/>
                <w:kern w:val="0"/>
                <w:szCs w:val="21"/>
              </w:rPr>
              <w:t>的中</w:t>
            </w:r>
            <w:r>
              <w:rPr>
                <w:rFonts w:ascii="宋体" w:hAnsi="宋体"/>
                <w:kern w:val="0"/>
                <w:szCs w:val="21"/>
              </w:rPr>
              <w:t>标候选</w:t>
            </w:r>
            <w:r>
              <w:rPr>
                <w:rFonts w:hint="eastAsia" w:ascii="宋体" w:hAnsi="宋体"/>
                <w:kern w:val="0"/>
                <w:szCs w:val="21"/>
              </w:rPr>
              <w:t>人保</w:t>
            </w:r>
            <w:r>
              <w:rPr>
                <w:rFonts w:ascii="宋体" w:hAnsi="宋体"/>
                <w:kern w:val="0"/>
                <w:szCs w:val="21"/>
              </w:rPr>
              <w:t>证金</w:t>
            </w:r>
            <w:r>
              <w:rPr>
                <w:rFonts w:hint="eastAsia" w:ascii="宋体" w:hAnsi="宋体"/>
                <w:kern w:val="0"/>
                <w:szCs w:val="21"/>
              </w:rPr>
              <w:t>在中</w:t>
            </w:r>
            <w:r>
              <w:rPr>
                <w:rFonts w:ascii="宋体" w:hAnsi="宋体"/>
                <w:kern w:val="0"/>
                <w:szCs w:val="21"/>
              </w:rPr>
              <w:t>标</w:t>
            </w:r>
            <w:r>
              <w:rPr>
                <w:rFonts w:hint="eastAsia" w:ascii="宋体" w:hAnsi="宋体"/>
                <w:kern w:val="0"/>
                <w:szCs w:val="21"/>
              </w:rPr>
              <w:t>人同招</w:t>
            </w:r>
            <w:r>
              <w:rPr>
                <w:rFonts w:ascii="宋体" w:hAnsi="宋体"/>
                <w:kern w:val="0"/>
                <w:szCs w:val="21"/>
              </w:rPr>
              <w:t>标</w:t>
            </w:r>
            <w:r>
              <w:rPr>
                <w:rFonts w:hint="eastAsia" w:ascii="宋体" w:hAnsi="宋体"/>
                <w:kern w:val="0"/>
                <w:szCs w:val="21"/>
              </w:rPr>
              <w:t>人合同</w:t>
            </w:r>
            <w:r>
              <w:rPr>
                <w:rFonts w:ascii="宋体" w:hAnsi="宋体"/>
                <w:kern w:val="0"/>
                <w:szCs w:val="21"/>
              </w:rPr>
              <w:t>签订</w:t>
            </w:r>
            <w:r>
              <w:rPr>
                <w:rFonts w:hint="eastAsia" w:ascii="宋体" w:hAnsi="宋体"/>
                <w:kern w:val="0"/>
                <w:szCs w:val="21"/>
              </w:rPr>
              <w:t>后5</w:t>
            </w:r>
            <w:r>
              <w:rPr>
                <w:rFonts w:ascii="宋体" w:hAnsi="宋体"/>
                <w:kern w:val="0"/>
                <w:szCs w:val="21"/>
              </w:rPr>
              <w:t>个</w:t>
            </w:r>
            <w:r>
              <w:rPr>
                <w:rFonts w:hint="eastAsia" w:ascii="宋体" w:hAnsi="宋体"/>
                <w:kern w:val="0"/>
                <w:szCs w:val="21"/>
              </w:rPr>
              <w:t>工作日</w:t>
            </w:r>
            <w:r>
              <w:rPr>
                <w:rFonts w:ascii="宋体" w:hAnsi="宋体"/>
                <w:kern w:val="0"/>
                <w:szCs w:val="21"/>
              </w:rPr>
              <w:t>内无</w:t>
            </w:r>
            <w:r>
              <w:rPr>
                <w:rFonts w:hint="eastAsia" w:ascii="宋体" w:hAnsi="宋体"/>
                <w:kern w:val="0"/>
                <w:szCs w:val="21"/>
              </w:rPr>
              <w:t>息退</w:t>
            </w:r>
            <w:r>
              <w:rPr>
                <w:rFonts w:ascii="宋体" w:hAnsi="宋体"/>
                <w:kern w:val="0"/>
                <w:szCs w:val="21"/>
              </w:rPr>
              <w:t>还</w:t>
            </w:r>
            <w:r>
              <w:rPr>
                <w:rFonts w:hint="eastAsia" w:ascii="宋体" w:hAnsi="宋体"/>
                <w:kern w:val="0"/>
                <w:szCs w:val="21"/>
              </w:rPr>
              <w:t>；其它未中</w:t>
            </w:r>
            <w:r>
              <w:rPr>
                <w:rFonts w:ascii="宋体" w:hAnsi="宋体"/>
                <w:kern w:val="0"/>
                <w:szCs w:val="21"/>
              </w:rPr>
              <w:t>标</w:t>
            </w:r>
            <w:r>
              <w:rPr>
                <w:rFonts w:hint="eastAsia" w:ascii="宋体" w:hAnsi="宋体"/>
                <w:kern w:val="0"/>
                <w:szCs w:val="21"/>
              </w:rPr>
              <w:t>人在中</w:t>
            </w:r>
            <w:r>
              <w:rPr>
                <w:rFonts w:ascii="宋体" w:hAnsi="宋体"/>
                <w:kern w:val="0"/>
                <w:szCs w:val="21"/>
              </w:rPr>
              <w:t>标</w:t>
            </w:r>
            <w:r>
              <w:rPr>
                <w:rFonts w:hint="eastAsia" w:ascii="宋体" w:hAnsi="宋体"/>
                <w:kern w:val="0"/>
                <w:szCs w:val="21"/>
              </w:rPr>
              <w:t>通知</w:t>
            </w:r>
            <w:r>
              <w:rPr>
                <w:rFonts w:ascii="宋体" w:hAnsi="宋体"/>
                <w:kern w:val="0"/>
                <w:szCs w:val="21"/>
              </w:rPr>
              <w:t>书发</w:t>
            </w:r>
            <w:r>
              <w:rPr>
                <w:rFonts w:hint="eastAsia" w:ascii="宋体" w:hAnsi="宋体"/>
                <w:kern w:val="0"/>
                <w:szCs w:val="21"/>
              </w:rPr>
              <w:t>出5</w:t>
            </w:r>
            <w:r>
              <w:rPr>
                <w:rFonts w:ascii="宋体" w:hAnsi="宋体"/>
                <w:kern w:val="0"/>
                <w:szCs w:val="21"/>
              </w:rPr>
              <w:t>个</w:t>
            </w:r>
            <w:r>
              <w:rPr>
                <w:rFonts w:hint="eastAsia" w:ascii="宋体" w:hAnsi="宋体"/>
                <w:kern w:val="0"/>
                <w:szCs w:val="21"/>
              </w:rPr>
              <w:t>工作日</w:t>
            </w:r>
            <w:r>
              <w:rPr>
                <w:rFonts w:ascii="宋体" w:hAnsi="宋体"/>
                <w:kern w:val="0"/>
                <w:szCs w:val="21"/>
              </w:rPr>
              <w:t>内无</w:t>
            </w:r>
            <w:r>
              <w:rPr>
                <w:rFonts w:hint="eastAsia" w:ascii="宋体" w:hAnsi="宋体"/>
                <w:kern w:val="0"/>
                <w:szCs w:val="21"/>
              </w:rPr>
              <w:t>息退</w:t>
            </w:r>
            <w:r>
              <w:rPr>
                <w:rFonts w:ascii="宋体" w:hAnsi="宋体"/>
                <w:kern w:val="0"/>
                <w:szCs w:val="21"/>
              </w:rPr>
              <w:t>还</w:t>
            </w:r>
            <w:r>
              <w:rPr>
                <w:rFonts w:hint="eastAsia" w:ascii="宋体" w:hAnsi="宋体"/>
                <w:kern w:val="0"/>
                <w:szCs w:val="21"/>
              </w:rPr>
              <w:t>。</w:t>
            </w:r>
          </w:p>
          <w:p>
            <w:pPr>
              <w:spacing w:line="400" w:lineRule="exact"/>
              <w:rPr>
                <w:rFonts w:ascii="宋体" w:hAnsi="宋体"/>
                <w:kern w:val="0"/>
                <w:szCs w:val="21"/>
              </w:rPr>
            </w:pPr>
            <w:r>
              <w:rPr>
                <w:rFonts w:hAnsi="宋体"/>
                <w:szCs w:val="21"/>
              </w:rPr>
              <w:t>温</w:t>
            </w:r>
            <w:r>
              <w:rPr>
                <w:rFonts w:hint="eastAsia" w:hAnsi="宋体"/>
                <w:szCs w:val="21"/>
              </w:rPr>
              <w:t>馨提示：投</w:t>
            </w:r>
            <w:r>
              <w:rPr>
                <w:rFonts w:hAnsi="宋体"/>
                <w:szCs w:val="21"/>
              </w:rPr>
              <w:t>标</w:t>
            </w:r>
            <w:r>
              <w:rPr>
                <w:rFonts w:hint="eastAsia" w:hAnsi="宋体"/>
                <w:szCs w:val="21"/>
              </w:rPr>
              <w:t>保</w:t>
            </w:r>
            <w:r>
              <w:rPr>
                <w:rFonts w:hAnsi="宋体"/>
                <w:szCs w:val="21"/>
              </w:rPr>
              <w:t>证金采用银</w:t>
            </w:r>
            <w:r>
              <w:rPr>
                <w:rFonts w:hint="eastAsia" w:hAnsi="宋体"/>
                <w:szCs w:val="21"/>
              </w:rPr>
              <w:t>行收退系</w:t>
            </w:r>
            <w:r>
              <w:rPr>
                <w:rFonts w:hAnsi="宋体"/>
                <w:szCs w:val="21"/>
              </w:rPr>
              <w:t>统</w:t>
            </w:r>
            <w:r>
              <w:rPr>
                <w:rFonts w:hint="eastAsia" w:hAnsi="宋体"/>
                <w:szCs w:val="21"/>
              </w:rPr>
              <w:t>收退，</w:t>
            </w:r>
            <w:r>
              <w:rPr>
                <w:rFonts w:hAnsi="宋体"/>
                <w:szCs w:val="21"/>
              </w:rPr>
              <w:t>请</w:t>
            </w:r>
            <w:r>
              <w:rPr>
                <w:rFonts w:hint="eastAsia" w:hAnsi="宋体"/>
                <w:szCs w:val="21"/>
              </w:rPr>
              <w:t>投</w:t>
            </w:r>
            <w:r>
              <w:rPr>
                <w:rFonts w:hAnsi="宋体"/>
                <w:szCs w:val="21"/>
              </w:rPr>
              <w:t>标</w:t>
            </w:r>
            <w:r>
              <w:rPr>
                <w:rFonts w:hint="eastAsia" w:hAnsi="宋体"/>
                <w:szCs w:val="21"/>
              </w:rPr>
              <w:t>人</w:t>
            </w:r>
            <w:r>
              <w:rPr>
                <w:rFonts w:hAnsi="宋体"/>
                <w:szCs w:val="21"/>
              </w:rPr>
              <w:t>认</w:t>
            </w:r>
            <w:r>
              <w:rPr>
                <w:rFonts w:hint="eastAsia" w:hAnsi="宋体"/>
                <w:szCs w:val="21"/>
              </w:rPr>
              <w:t>真</w:t>
            </w:r>
            <w:r>
              <w:rPr>
                <w:rFonts w:hAnsi="宋体"/>
                <w:szCs w:val="21"/>
              </w:rPr>
              <w:t>填写</w:t>
            </w:r>
            <w:r>
              <w:rPr>
                <w:rFonts w:hint="eastAsia" w:hAnsi="宋体"/>
                <w:szCs w:val="21"/>
              </w:rPr>
              <w:t>、核</w:t>
            </w:r>
            <w:r>
              <w:rPr>
                <w:rFonts w:hAnsi="宋体"/>
                <w:szCs w:val="21"/>
              </w:rPr>
              <w:t>对</w:t>
            </w:r>
            <w:r>
              <w:rPr>
                <w:rFonts w:hint="eastAsia" w:hAnsi="宋体"/>
                <w:szCs w:val="21"/>
              </w:rPr>
              <w:t>相</w:t>
            </w:r>
            <w:r>
              <w:rPr>
                <w:rFonts w:hAnsi="宋体"/>
                <w:szCs w:val="21"/>
              </w:rPr>
              <w:t>关</w:t>
            </w:r>
            <w:r>
              <w:rPr>
                <w:rFonts w:hint="eastAsia" w:hAnsi="宋体"/>
                <w:szCs w:val="21"/>
              </w:rPr>
              <w:t>信息，若因投</w:t>
            </w:r>
            <w:r>
              <w:rPr>
                <w:rFonts w:hAnsi="宋体"/>
                <w:szCs w:val="21"/>
              </w:rPr>
              <w:t>标</w:t>
            </w:r>
            <w:r>
              <w:rPr>
                <w:rFonts w:hint="eastAsia" w:hAnsi="宋体"/>
                <w:szCs w:val="21"/>
              </w:rPr>
              <w:t>人提供的相</w:t>
            </w:r>
            <w:r>
              <w:rPr>
                <w:rFonts w:hAnsi="宋体"/>
                <w:szCs w:val="21"/>
              </w:rPr>
              <w:t>关</w:t>
            </w:r>
            <w:r>
              <w:rPr>
                <w:rFonts w:hint="eastAsia" w:hAnsi="宋体"/>
                <w:szCs w:val="21"/>
              </w:rPr>
              <w:t>信息有</w:t>
            </w:r>
            <w:r>
              <w:rPr>
                <w:rFonts w:hAnsi="宋体"/>
                <w:szCs w:val="21"/>
              </w:rPr>
              <w:t>误，责</w:t>
            </w:r>
            <w:r>
              <w:rPr>
                <w:rFonts w:hint="eastAsia" w:hAnsi="宋体"/>
                <w:szCs w:val="21"/>
              </w:rPr>
              <w:t>任自</w:t>
            </w:r>
            <w:r>
              <w:rPr>
                <w:rFonts w:hAnsi="宋体"/>
                <w:szCs w:val="21"/>
              </w:rPr>
              <w:t>负</w:t>
            </w:r>
            <w:r>
              <w:rPr>
                <w:rFonts w:hint="eastAsia" w:hAnsi="宋体"/>
                <w:szCs w:val="21"/>
              </w:rPr>
              <w:t>。如投</w:t>
            </w:r>
            <w:r>
              <w:rPr>
                <w:rFonts w:hAnsi="宋体"/>
                <w:szCs w:val="21"/>
              </w:rPr>
              <w:t>标</w:t>
            </w:r>
            <w:r>
              <w:rPr>
                <w:rFonts w:hint="eastAsia" w:hAnsi="宋体"/>
                <w:szCs w:val="21"/>
              </w:rPr>
              <w:t>人未按上述</w:t>
            </w:r>
            <w:r>
              <w:rPr>
                <w:rFonts w:hAnsi="宋体"/>
                <w:szCs w:val="21"/>
              </w:rPr>
              <w:t>规</w:t>
            </w:r>
            <w:r>
              <w:rPr>
                <w:rFonts w:hint="eastAsia" w:hAnsi="宋体"/>
                <w:szCs w:val="21"/>
              </w:rPr>
              <w:t>定足</w:t>
            </w:r>
            <w:r>
              <w:rPr>
                <w:rFonts w:hAnsi="宋体"/>
                <w:szCs w:val="21"/>
              </w:rPr>
              <w:t>额</w:t>
            </w:r>
            <w:r>
              <w:rPr>
                <w:rFonts w:hint="eastAsia" w:hAnsi="宋体"/>
                <w:szCs w:val="21"/>
              </w:rPr>
              <w:t>提交投</w:t>
            </w:r>
            <w:r>
              <w:rPr>
                <w:rFonts w:hAnsi="宋体"/>
                <w:szCs w:val="21"/>
              </w:rPr>
              <w:t>标</w:t>
            </w:r>
            <w:r>
              <w:rPr>
                <w:rFonts w:hint="eastAsia" w:hAnsi="宋体"/>
                <w:szCs w:val="21"/>
              </w:rPr>
              <w:t>保</w:t>
            </w:r>
            <w:r>
              <w:rPr>
                <w:rFonts w:hAnsi="宋体"/>
                <w:szCs w:val="21"/>
              </w:rPr>
              <w:t>证金</w:t>
            </w:r>
            <w:r>
              <w:rPr>
                <w:rFonts w:hint="eastAsia" w:hAnsi="宋体"/>
                <w:szCs w:val="21"/>
              </w:rPr>
              <w:t>，</w:t>
            </w:r>
            <w:r>
              <w:rPr>
                <w:rFonts w:hAnsi="宋体"/>
                <w:szCs w:val="21"/>
              </w:rPr>
              <w:t>评标</w:t>
            </w:r>
            <w:r>
              <w:rPr>
                <w:rFonts w:hint="eastAsia" w:hAnsi="宋体"/>
                <w:szCs w:val="21"/>
              </w:rPr>
              <w:t>委</w:t>
            </w:r>
            <w:r>
              <w:rPr>
                <w:rFonts w:hAnsi="宋体"/>
                <w:szCs w:val="21"/>
              </w:rPr>
              <w:t>员会将</w:t>
            </w:r>
            <w:r>
              <w:rPr>
                <w:rFonts w:hint="eastAsia" w:hAnsi="宋体"/>
                <w:szCs w:val="21"/>
              </w:rPr>
              <w:t>有权</w:t>
            </w:r>
            <w:r>
              <w:rPr>
                <w:rFonts w:hAnsi="宋体"/>
                <w:szCs w:val="21"/>
              </w:rPr>
              <w:t>按无</w:t>
            </w:r>
            <w:r>
              <w:rPr>
                <w:rFonts w:hint="eastAsia" w:hAnsi="宋体"/>
                <w:szCs w:val="21"/>
              </w:rPr>
              <w:t>效</w:t>
            </w:r>
            <w:r>
              <w:rPr>
                <w:rFonts w:hAnsi="宋体"/>
                <w:szCs w:val="21"/>
              </w:rPr>
              <w:t>标处</w:t>
            </w:r>
            <w:r>
              <w:rPr>
                <w:rFonts w:hint="eastAsia" w:hAnsi="宋体"/>
                <w:szCs w:val="21"/>
              </w:rPr>
              <w:t>理。</w:t>
            </w:r>
            <w:r>
              <w:rPr>
                <w:rFonts w:hAnsi="宋体"/>
                <w:szCs w:val="21"/>
              </w:rPr>
              <w:t>对</w:t>
            </w:r>
            <w:r>
              <w:rPr>
                <w:rFonts w:hint="eastAsia" w:hAnsi="宋体"/>
                <w:szCs w:val="21"/>
              </w:rPr>
              <w:t>未中</w:t>
            </w:r>
            <w:r>
              <w:rPr>
                <w:rFonts w:hAnsi="宋体"/>
                <w:szCs w:val="21"/>
              </w:rPr>
              <w:t>标</w:t>
            </w:r>
            <w:r>
              <w:rPr>
                <w:rFonts w:hint="eastAsia" w:hAnsi="宋体"/>
                <w:szCs w:val="21"/>
              </w:rPr>
              <w:t>的投</w:t>
            </w:r>
            <w:r>
              <w:rPr>
                <w:rFonts w:hAnsi="宋体"/>
                <w:szCs w:val="21"/>
              </w:rPr>
              <w:t>标</w:t>
            </w:r>
            <w:r>
              <w:rPr>
                <w:rFonts w:hint="eastAsia" w:hAnsi="宋体"/>
                <w:szCs w:val="21"/>
              </w:rPr>
              <w:t>人的投</w:t>
            </w:r>
            <w:r>
              <w:rPr>
                <w:rFonts w:hAnsi="宋体"/>
                <w:szCs w:val="21"/>
              </w:rPr>
              <w:t>标</w:t>
            </w:r>
            <w:r>
              <w:rPr>
                <w:rFonts w:hint="eastAsia" w:hAnsi="宋体"/>
                <w:szCs w:val="21"/>
              </w:rPr>
              <w:t>保</w:t>
            </w:r>
            <w:r>
              <w:rPr>
                <w:rFonts w:hAnsi="宋体"/>
                <w:szCs w:val="21"/>
              </w:rPr>
              <w:t>证金</w:t>
            </w:r>
            <w:r>
              <w:rPr>
                <w:rFonts w:hint="eastAsia" w:hAnsi="宋体"/>
                <w:szCs w:val="21"/>
              </w:rPr>
              <w:t>退回不需要投</w:t>
            </w:r>
            <w:r>
              <w:rPr>
                <w:rFonts w:hAnsi="宋体"/>
                <w:szCs w:val="21"/>
              </w:rPr>
              <w:t>标</w:t>
            </w:r>
            <w:r>
              <w:rPr>
                <w:rFonts w:hint="eastAsia" w:hAnsi="宋体"/>
                <w:szCs w:val="21"/>
              </w:rPr>
              <w:t>人前</w:t>
            </w:r>
            <w:r>
              <w:rPr>
                <w:rFonts w:hAnsi="宋体"/>
                <w:szCs w:val="21"/>
              </w:rPr>
              <w:t>来办理</w:t>
            </w:r>
            <w:r>
              <w:rPr>
                <w:rFonts w:hint="eastAsia" w:hAnsi="宋体"/>
                <w:szCs w:val="21"/>
              </w:rPr>
              <w:t>，</w:t>
            </w:r>
            <w:r>
              <w:rPr>
                <w:rFonts w:hAnsi="宋体"/>
                <w:szCs w:val="21"/>
              </w:rPr>
              <w:t>对中标</w:t>
            </w:r>
            <w:r>
              <w:rPr>
                <w:rFonts w:hint="eastAsia" w:hAnsi="宋体"/>
                <w:szCs w:val="21"/>
              </w:rPr>
              <w:t>人的投</w:t>
            </w:r>
            <w:r>
              <w:rPr>
                <w:rFonts w:hAnsi="宋体"/>
                <w:szCs w:val="21"/>
              </w:rPr>
              <w:t>标</w:t>
            </w:r>
            <w:r>
              <w:rPr>
                <w:rFonts w:hint="eastAsia" w:hAnsi="宋体"/>
                <w:szCs w:val="21"/>
              </w:rPr>
              <w:t>保</w:t>
            </w:r>
            <w:r>
              <w:rPr>
                <w:rFonts w:hAnsi="宋体"/>
                <w:szCs w:val="21"/>
              </w:rPr>
              <w:t>证金</w:t>
            </w:r>
            <w:r>
              <w:rPr>
                <w:rFonts w:hint="eastAsia" w:hAnsi="宋体"/>
                <w:szCs w:val="21"/>
              </w:rPr>
              <w:t>退回</w:t>
            </w:r>
            <w:r>
              <w:rPr>
                <w:rFonts w:hAnsi="宋体"/>
                <w:szCs w:val="21"/>
              </w:rPr>
              <w:t>须</w:t>
            </w:r>
            <w:r>
              <w:rPr>
                <w:rFonts w:hint="eastAsia" w:hAnsi="宋体"/>
                <w:szCs w:val="21"/>
              </w:rPr>
              <w:t>由中</w:t>
            </w:r>
            <w:r>
              <w:rPr>
                <w:rFonts w:hAnsi="宋体"/>
                <w:szCs w:val="21"/>
              </w:rPr>
              <w:t>标</w:t>
            </w:r>
            <w:r>
              <w:rPr>
                <w:rFonts w:hint="eastAsia" w:hAnsi="宋体"/>
                <w:szCs w:val="21"/>
              </w:rPr>
              <w:t>人法定代表人或其授</w:t>
            </w:r>
            <w:r>
              <w:rPr>
                <w:rFonts w:hAnsi="宋体"/>
                <w:szCs w:val="21"/>
              </w:rPr>
              <w:t>权</w:t>
            </w:r>
            <w:r>
              <w:rPr>
                <w:rFonts w:hint="eastAsia" w:hAnsi="宋体"/>
                <w:szCs w:val="21"/>
              </w:rPr>
              <w:t>委托代理</w:t>
            </w:r>
            <w:r>
              <w:rPr>
                <w:rFonts w:hAnsi="宋体"/>
                <w:szCs w:val="21"/>
              </w:rPr>
              <w:t>人亲自</w:t>
            </w:r>
            <w:r>
              <w:rPr>
                <w:rFonts w:hint="eastAsia" w:hAnsi="宋体"/>
                <w:szCs w:val="21"/>
              </w:rPr>
              <w:t>前</w:t>
            </w:r>
            <w:r>
              <w:rPr>
                <w:rFonts w:hAnsi="宋体"/>
                <w:szCs w:val="21"/>
              </w:rPr>
              <w:t>来办理</w:t>
            </w:r>
            <w:r>
              <w:rPr>
                <w:rFonts w:hint="eastAsia" w:hAnsi="宋体"/>
                <w:szCs w:val="21"/>
              </w:rPr>
              <w:t>，其它任何</w:t>
            </w:r>
            <w:r>
              <w:rPr>
                <w:rFonts w:hAnsi="宋体"/>
                <w:szCs w:val="21"/>
              </w:rPr>
              <w:t>无关</w:t>
            </w:r>
            <w:r>
              <w:rPr>
                <w:rFonts w:hint="eastAsia" w:hAnsi="宋体"/>
                <w:szCs w:val="21"/>
              </w:rPr>
              <w:t>人</w:t>
            </w:r>
            <w:r>
              <w:rPr>
                <w:rFonts w:hAnsi="宋体"/>
                <w:szCs w:val="21"/>
              </w:rPr>
              <w:t>员</w:t>
            </w:r>
            <w:r>
              <w:rPr>
                <w:rFonts w:hint="eastAsia" w:hAnsi="宋体"/>
                <w:szCs w:val="21"/>
              </w:rPr>
              <w:t>一律不予</w:t>
            </w:r>
            <w:r>
              <w:rPr>
                <w:rFonts w:hAnsi="宋体"/>
                <w:szCs w:val="21"/>
              </w:rPr>
              <w:t>办理</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540" w:type="dxa"/>
            <w:vAlign w:val="center"/>
          </w:tcPr>
          <w:p>
            <w:pPr>
              <w:spacing w:line="400" w:lineRule="exact"/>
              <w:jc w:val="center"/>
              <w:rPr>
                <w:rFonts w:ascii="宋体" w:hAnsi="宋体"/>
                <w:szCs w:val="21"/>
              </w:rPr>
            </w:pPr>
            <w:r>
              <w:rPr>
                <w:rFonts w:hint="eastAsia" w:ascii="宋体" w:hAnsi="宋体"/>
                <w:szCs w:val="21"/>
              </w:rPr>
              <w:t>26</w:t>
            </w:r>
          </w:p>
        </w:tc>
        <w:tc>
          <w:tcPr>
            <w:tcW w:w="644" w:type="dxa"/>
            <w:vAlign w:val="center"/>
          </w:tcPr>
          <w:p>
            <w:pPr>
              <w:spacing w:line="400" w:lineRule="exact"/>
              <w:jc w:val="center"/>
              <w:rPr>
                <w:rFonts w:ascii="宋体" w:hAnsi="宋体"/>
                <w:szCs w:val="21"/>
              </w:rPr>
            </w:pPr>
          </w:p>
        </w:tc>
        <w:tc>
          <w:tcPr>
            <w:tcW w:w="2077" w:type="dxa"/>
            <w:vAlign w:val="center"/>
          </w:tcPr>
          <w:p>
            <w:pPr>
              <w:spacing w:line="400" w:lineRule="exact"/>
              <w:jc w:val="center"/>
              <w:rPr>
                <w:rFonts w:ascii="宋体" w:hAnsi="宋体"/>
                <w:szCs w:val="21"/>
              </w:rPr>
            </w:pPr>
            <w:r>
              <w:rPr>
                <w:rFonts w:hint="eastAsia" w:ascii="宋体" w:hAnsi="宋体"/>
                <w:szCs w:val="21"/>
              </w:rPr>
              <w:t>近年完成类似项目的年份要求</w:t>
            </w:r>
          </w:p>
        </w:tc>
        <w:tc>
          <w:tcPr>
            <w:tcW w:w="6240" w:type="dxa"/>
            <w:vAlign w:val="center"/>
          </w:tcPr>
          <w:p>
            <w:pPr>
              <w:spacing w:line="400" w:lineRule="exact"/>
              <w:rPr>
                <w:rFonts w:ascii="宋体" w:hAnsi="宋体"/>
                <w:szCs w:val="21"/>
                <w:highlight w:val="green"/>
              </w:rPr>
            </w:pPr>
            <w:r>
              <w:rPr>
                <w:rFonts w:hint="eastAsia" w:ascii="宋体" w:hAnsi="宋体"/>
                <w:color w:val="auto"/>
                <w:szCs w:val="21"/>
              </w:rPr>
              <w:t>2019年1月1日至今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540" w:type="dxa"/>
            <w:vAlign w:val="center"/>
          </w:tcPr>
          <w:p>
            <w:pPr>
              <w:spacing w:line="400" w:lineRule="exact"/>
              <w:jc w:val="center"/>
              <w:rPr>
                <w:rFonts w:ascii="宋体" w:hAnsi="宋体"/>
                <w:szCs w:val="21"/>
              </w:rPr>
            </w:pPr>
            <w:r>
              <w:rPr>
                <w:rFonts w:hint="eastAsia" w:ascii="宋体" w:hAnsi="宋体"/>
                <w:szCs w:val="21"/>
              </w:rPr>
              <w:t>27</w:t>
            </w:r>
          </w:p>
        </w:tc>
        <w:tc>
          <w:tcPr>
            <w:tcW w:w="644" w:type="dxa"/>
            <w:vAlign w:val="center"/>
          </w:tcPr>
          <w:p>
            <w:pPr>
              <w:spacing w:line="400" w:lineRule="exact"/>
              <w:jc w:val="center"/>
              <w:rPr>
                <w:rFonts w:ascii="宋体" w:hAnsi="宋体"/>
                <w:szCs w:val="21"/>
              </w:rPr>
            </w:pPr>
            <w:r>
              <w:rPr>
                <w:rFonts w:hint="eastAsia" w:ascii="宋体" w:hAnsi="宋体"/>
                <w:szCs w:val="21"/>
              </w:rPr>
              <w:t>3.5</w:t>
            </w:r>
          </w:p>
        </w:tc>
        <w:tc>
          <w:tcPr>
            <w:tcW w:w="2077" w:type="dxa"/>
            <w:vAlign w:val="center"/>
          </w:tcPr>
          <w:p>
            <w:pPr>
              <w:spacing w:line="400" w:lineRule="exact"/>
              <w:jc w:val="center"/>
              <w:rPr>
                <w:rFonts w:ascii="宋体" w:hAnsi="宋体"/>
                <w:szCs w:val="21"/>
              </w:rPr>
            </w:pPr>
            <w:r>
              <w:rPr>
                <w:rFonts w:hint="eastAsia" w:ascii="宋体" w:hAnsi="宋体"/>
                <w:szCs w:val="21"/>
              </w:rPr>
              <w:t>资格审查的</w:t>
            </w:r>
          </w:p>
          <w:p>
            <w:pPr>
              <w:spacing w:line="400" w:lineRule="exact"/>
              <w:jc w:val="center"/>
              <w:rPr>
                <w:rFonts w:ascii="宋体" w:hAnsi="宋体"/>
                <w:szCs w:val="21"/>
              </w:rPr>
            </w:pPr>
            <w:r>
              <w:rPr>
                <w:rFonts w:hint="eastAsia" w:ascii="宋体" w:hAnsi="宋体"/>
                <w:szCs w:val="21"/>
              </w:rPr>
              <w:t>其他资料</w:t>
            </w:r>
          </w:p>
        </w:tc>
        <w:tc>
          <w:tcPr>
            <w:tcW w:w="6240" w:type="dxa"/>
            <w:vAlign w:val="center"/>
          </w:tcPr>
          <w:p>
            <w:pPr>
              <w:spacing w:line="400" w:lineRule="exact"/>
              <w:rPr>
                <w:rFonts w:ascii="宋体" w:hAnsi="宋体"/>
                <w:szCs w:val="21"/>
                <w:u w:val="single"/>
              </w:rPr>
            </w:pPr>
            <w:r>
              <w:rPr>
                <w:rFonts w:hint="eastAsia" w:ascii="宋体" w:hAnsi="宋体"/>
                <w:szCs w:val="21"/>
              </w:rPr>
              <w:t>详见招标文件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540" w:type="dxa"/>
            <w:vAlign w:val="center"/>
          </w:tcPr>
          <w:p>
            <w:pPr>
              <w:spacing w:line="400" w:lineRule="exact"/>
              <w:jc w:val="center"/>
              <w:rPr>
                <w:rFonts w:ascii="宋体" w:hAnsi="宋体"/>
                <w:szCs w:val="21"/>
              </w:rPr>
            </w:pPr>
            <w:r>
              <w:rPr>
                <w:rFonts w:hint="eastAsia" w:ascii="宋体" w:hAnsi="宋体"/>
                <w:szCs w:val="21"/>
              </w:rPr>
              <w:t>28</w:t>
            </w:r>
          </w:p>
        </w:tc>
        <w:tc>
          <w:tcPr>
            <w:tcW w:w="644" w:type="dxa"/>
            <w:vAlign w:val="center"/>
          </w:tcPr>
          <w:p>
            <w:pPr>
              <w:spacing w:line="400" w:lineRule="exact"/>
              <w:jc w:val="center"/>
              <w:rPr>
                <w:rFonts w:ascii="宋体" w:hAnsi="宋体"/>
                <w:szCs w:val="21"/>
              </w:rPr>
            </w:pPr>
            <w:r>
              <w:rPr>
                <w:rFonts w:hint="eastAsia" w:ascii="宋体" w:hAnsi="宋体"/>
                <w:szCs w:val="21"/>
              </w:rPr>
              <w:t>3.6</w:t>
            </w:r>
          </w:p>
        </w:tc>
        <w:tc>
          <w:tcPr>
            <w:tcW w:w="2077" w:type="dxa"/>
            <w:vAlign w:val="center"/>
          </w:tcPr>
          <w:p>
            <w:pPr>
              <w:spacing w:line="400" w:lineRule="exact"/>
              <w:jc w:val="center"/>
              <w:rPr>
                <w:rFonts w:ascii="宋体" w:hAnsi="宋体"/>
                <w:szCs w:val="21"/>
              </w:rPr>
            </w:pPr>
            <w:r>
              <w:rPr>
                <w:rFonts w:hint="eastAsia" w:ascii="宋体" w:hAnsi="宋体"/>
                <w:szCs w:val="21"/>
              </w:rPr>
              <w:t>备选文件</w:t>
            </w:r>
          </w:p>
        </w:tc>
        <w:tc>
          <w:tcPr>
            <w:tcW w:w="6240" w:type="dxa"/>
            <w:vAlign w:val="center"/>
          </w:tcPr>
          <w:p>
            <w:pPr>
              <w:spacing w:line="400" w:lineRule="exact"/>
              <w:rPr>
                <w:rFonts w:ascii="宋体" w:hAns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540" w:type="dxa"/>
            <w:vAlign w:val="center"/>
          </w:tcPr>
          <w:p>
            <w:pPr>
              <w:spacing w:line="400" w:lineRule="exact"/>
              <w:jc w:val="center"/>
              <w:rPr>
                <w:rFonts w:ascii="宋体" w:hAnsi="宋体"/>
                <w:szCs w:val="21"/>
              </w:rPr>
            </w:pPr>
            <w:r>
              <w:rPr>
                <w:rFonts w:hint="eastAsia" w:ascii="宋体" w:hAnsi="宋体"/>
                <w:szCs w:val="21"/>
              </w:rPr>
              <w:t>29</w:t>
            </w:r>
          </w:p>
        </w:tc>
        <w:tc>
          <w:tcPr>
            <w:tcW w:w="644" w:type="dxa"/>
            <w:vAlign w:val="center"/>
          </w:tcPr>
          <w:p>
            <w:pPr>
              <w:spacing w:line="400" w:lineRule="exact"/>
              <w:jc w:val="center"/>
              <w:rPr>
                <w:rFonts w:ascii="宋体" w:hAnsi="宋体"/>
                <w:szCs w:val="21"/>
              </w:rPr>
            </w:pPr>
            <w:r>
              <w:rPr>
                <w:rFonts w:hint="eastAsia" w:ascii="宋体" w:hAnsi="宋体"/>
                <w:szCs w:val="21"/>
              </w:rPr>
              <w:t xml:space="preserve"> </w:t>
            </w:r>
          </w:p>
        </w:tc>
        <w:tc>
          <w:tcPr>
            <w:tcW w:w="2077" w:type="dxa"/>
            <w:vAlign w:val="center"/>
          </w:tcPr>
          <w:p>
            <w:pPr>
              <w:spacing w:line="400" w:lineRule="exact"/>
              <w:jc w:val="center"/>
              <w:rPr>
                <w:rFonts w:ascii="宋体" w:hAnsi="宋体"/>
                <w:szCs w:val="21"/>
              </w:rPr>
            </w:pPr>
            <w:r>
              <w:rPr>
                <w:rFonts w:hint="eastAsia" w:ascii="宋体" w:hAnsi="宋体"/>
                <w:szCs w:val="21"/>
              </w:rPr>
              <w:t>投标文件</w:t>
            </w:r>
          </w:p>
          <w:p>
            <w:pPr>
              <w:spacing w:line="400" w:lineRule="exact"/>
              <w:jc w:val="center"/>
              <w:rPr>
                <w:rFonts w:ascii="宋体" w:hAnsi="宋体"/>
                <w:szCs w:val="21"/>
              </w:rPr>
            </w:pPr>
            <w:r>
              <w:rPr>
                <w:rFonts w:hint="eastAsia" w:ascii="宋体" w:hAnsi="宋体"/>
                <w:szCs w:val="21"/>
              </w:rPr>
              <w:t>电子版要求</w:t>
            </w:r>
          </w:p>
        </w:tc>
        <w:tc>
          <w:tcPr>
            <w:tcW w:w="6240" w:type="dxa"/>
            <w:vAlign w:val="center"/>
          </w:tcPr>
          <w:p>
            <w:pPr>
              <w:spacing w:line="400" w:lineRule="exact"/>
              <w:rPr>
                <w:rFonts w:ascii="宋体" w:hAnsi="宋体"/>
                <w:szCs w:val="21"/>
              </w:rPr>
            </w:pPr>
            <w:r>
              <w:rPr>
                <w:rFonts w:hint="eastAsia" w:ascii="宋体" w:hAnsi="宋体"/>
                <w:szCs w:val="21"/>
              </w:rPr>
              <w:t>投标文件电子版采用U盘，须包含投标文件的全部内容并能打开运行，随投标文件商务标的正本一起封装,否则责任自负。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540" w:type="dxa"/>
            <w:vAlign w:val="center"/>
          </w:tcPr>
          <w:p>
            <w:pPr>
              <w:spacing w:line="400" w:lineRule="exact"/>
              <w:jc w:val="center"/>
              <w:rPr>
                <w:rFonts w:ascii="宋体" w:hAnsi="宋体"/>
                <w:szCs w:val="21"/>
              </w:rPr>
            </w:pPr>
            <w:r>
              <w:rPr>
                <w:rFonts w:hint="eastAsia" w:ascii="宋体" w:hAnsi="宋体"/>
                <w:szCs w:val="21"/>
              </w:rPr>
              <w:t>30</w:t>
            </w:r>
          </w:p>
        </w:tc>
        <w:tc>
          <w:tcPr>
            <w:tcW w:w="644" w:type="dxa"/>
            <w:vAlign w:val="center"/>
          </w:tcPr>
          <w:p>
            <w:pPr>
              <w:spacing w:line="400" w:lineRule="exact"/>
              <w:jc w:val="center"/>
              <w:rPr>
                <w:rFonts w:ascii="宋体" w:hAnsi="宋体"/>
                <w:szCs w:val="21"/>
              </w:rPr>
            </w:pPr>
          </w:p>
        </w:tc>
        <w:tc>
          <w:tcPr>
            <w:tcW w:w="2077" w:type="dxa"/>
            <w:vAlign w:val="center"/>
          </w:tcPr>
          <w:p>
            <w:pPr>
              <w:spacing w:line="400" w:lineRule="exact"/>
              <w:jc w:val="center"/>
              <w:rPr>
                <w:rFonts w:ascii="宋体" w:hAnsi="宋体"/>
                <w:szCs w:val="21"/>
              </w:rPr>
            </w:pPr>
            <w:r>
              <w:rPr>
                <w:rFonts w:hint="eastAsia" w:ascii="宋体" w:hAnsi="宋体"/>
                <w:szCs w:val="21"/>
              </w:rPr>
              <w:t>投标文件份数</w:t>
            </w:r>
          </w:p>
        </w:tc>
        <w:tc>
          <w:tcPr>
            <w:tcW w:w="6240" w:type="dxa"/>
            <w:vAlign w:val="center"/>
          </w:tcPr>
          <w:p>
            <w:pPr>
              <w:spacing w:line="400" w:lineRule="exact"/>
              <w:rPr>
                <w:rFonts w:ascii="宋体" w:hAnsi="宋体"/>
                <w:szCs w:val="21"/>
              </w:rPr>
            </w:pPr>
            <w:r>
              <w:rPr>
                <w:rFonts w:hint="eastAsia" w:ascii="宋体" w:hAnsi="宋体"/>
                <w:szCs w:val="21"/>
              </w:rPr>
              <w:t>正本</w:t>
            </w:r>
            <w:r>
              <w:rPr>
                <w:rFonts w:hint="eastAsia" w:ascii="宋体" w:hAnsi="宋体"/>
                <w:szCs w:val="21"/>
                <w:u w:val="single"/>
              </w:rPr>
              <w:t xml:space="preserve"> 1 </w:t>
            </w:r>
            <w:r>
              <w:rPr>
                <w:rFonts w:hint="eastAsia" w:ascii="宋体" w:hAnsi="宋体"/>
                <w:szCs w:val="21"/>
              </w:rPr>
              <w:t>份，副本</w:t>
            </w:r>
            <w:r>
              <w:rPr>
                <w:rFonts w:hint="eastAsia" w:ascii="宋体" w:hAnsi="宋体"/>
                <w:szCs w:val="21"/>
                <w:u w:val="single"/>
              </w:rPr>
              <w:t xml:space="preserve"> </w:t>
            </w:r>
            <w:r>
              <w:rPr>
                <w:rFonts w:hint="eastAsia" w:ascii="宋体" w:hAnsi="宋体"/>
                <w:b/>
                <w:szCs w:val="21"/>
                <w:u w:val="single"/>
              </w:rPr>
              <w:t>3</w:t>
            </w:r>
            <w:r>
              <w:rPr>
                <w:rFonts w:hint="eastAsia" w:ascii="宋体" w:hAnsi="宋体"/>
                <w:szCs w:val="21"/>
                <w:u w:val="single"/>
              </w:rPr>
              <w:t xml:space="preserve"> </w:t>
            </w:r>
            <w:r>
              <w:rPr>
                <w:rFonts w:hint="eastAsia" w:ascii="宋体" w:hAnsi="宋体"/>
                <w:szCs w:val="21"/>
              </w:rPr>
              <w:t>份，电子版</w:t>
            </w:r>
            <w:r>
              <w:rPr>
                <w:rFonts w:hint="eastAsia" w:ascii="宋体" w:hAnsi="宋体"/>
                <w:szCs w:val="21"/>
                <w:u w:val="single"/>
              </w:rPr>
              <w:t xml:space="preserve"> 1 </w:t>
            </w:r>
            <w:r>
              <w:rPr>
                <w:rFonts w:hint="eastAsia" w:ascii="宋体" w:hAnsi="宋体"/>
                <w:szCs w:val="21"/>
              </w:rPr>
              <w:t>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0" w:hRule="atLeast"/>
        </w:trPr>
        <w:tc>
          <w:tcPr>
            <w:tcW w:w="540" w:type="dxa"/>
            <w:vAlign w:val="center"/>
          </w:tcPr>
          <w:p>
            <w:pPr>
              <w:spacing w:line="400" w:lineRule="exact"/>
              <w:jc w:val="center"/>
              <w:rPr>
                <w:rFonts w:ascii="宋体" w:hAnsi="宋体"/>
                <w:szCs w:val="21"/>
              </w:rPr>
            </w:pPr>
            <w:r>
              <w:rPr>
                <w:rFonts w:hint="eastAsia" w:ascii="宋体" w:hAnsi="宋体"/>
                <w:szCs w:val="21"/>
              </w:rPr>
              <w:t>31</w:t>
            </w:r>
          </w:p>
        </w:tc>
        <w:tc>
          <w:tcPr>
            <w:tcW w:w="644" w:type="dxa"/>
            <w:vAlign w:val="center"/>
          </w:tcPr>
          <w:p>
            <w:pPr>
              <w:spacing w:line="400" w:lineRule="exact"/>
              <w:jc w:val="center"/>
              <w:rPr>
                <w:rFonts w:ascii="宋体" w:hAnsi="宋体"/>
                <w:szCs w:val="21"/>
              </w:rPr>
            </w:pPr>
            <w:r>
              <w:rPr>
                <w:rFonts w:hint="eastAsia" w:ascii="宋体" w:hAnsi="宋体"/>
                <w:szCs w:val="21"/>
              </w:rPr>
              <w:t xml:space="preserve"> 4.1</w:t>
            </w:r>
          </w:p>
        </w:tc>
        <w:tc>
          <w:tcPr>
            <w:tcW w:w="2077" w:type="dxa"/>
            <w:vAlign w:val="center"/>
          </w:tcPr>
          <w:p>
            <w:pPr>
              <w:spacing w:line="400" w:lineRule="exact"/>
              <w:jc w:val="center"/>
              <w:rPr>
                <w:rFonts w:ascii="宋体" w:hAnsi="宋体"/>
                <w:szCs w:val="21"/>
              </w:rPr>
            </w:pPr>
            <w:r>
              <w:rPr>
                <w:rFonts w:hint="eastAsia" w:ascii="宋体" w:hAnsi="宋体"/>
                <w:szCs w:val="21"/>
              </w:rPr>
              <w:t>封套上写明</w:t>
            </w:r>
          </w:p>
        </w:tc>
        <w:tc>
          <w:tcPr>
            <w:tcW w:w="6240" w:type="dxa"/>
            <w:vAlign w:val="center"/>
          </w:tcPr>
          <w:p>
            <w:pPr>
              <w:spacing w:line="400" w:lineRule="exact"/>
              <w:rPr>
                <w:rFonts w:ascii="宋体" w:hAnsi="宋体" w:cs="Arial"/>
                <w:szCs w:val="21"/>
              </w:rPr>
            </w:pPr>
            <w:r>
              <w:rPr>
                <w:rFonts w:hint="eastAsia" w:ascii="宋体" w:hAnsi="宋体"/>
                <w:szCs w:val="21"/>
              </w:rPr>
              <w:t>招标人地址：</w:t>
            </w:r>
          </w:p>
          <w:p>
            <w:pPr>
              <w:spacing w:line="400" w:lineRule="exact"/>
              <w:rPr>
                <w:rFonts w:ascii="宋体" w:hAnsi="宋体" w:cs="Arial"/>
                <w:szCs w:val="21"/>
              </w:rPr>
            </w:pPr>
            <w:r>
              <w:rPr>
                <w:rFonts w:hint="eastAsia" w:ascii="宋体" w:hAnsi="宋体"/>
                <w:szCs w:val="21"/>
              </w:rPr>
              <w:t>招标人名称：</w:t>
            </w:r>
          </w:p>
          <w:p>
            <w:pPr>
              <w:spacing w:line="400" w:lineRule="exact"/>
              <w:rPr>
                <w:rFonts w:ascii="宋体" w:hAnsi="宋体"/>
                <w:szCs w:val="21"/>
              </w:rPr>
            </w:pPr>
            <w:r>
              <w:rPr>
                <w:rFonts w:hint="eastAsia" w:ascii="宋体" w:hAnsi="宋体"/>
                <w:szCs w:val="21"/>
              </w:rPr>
              <w:t>投标人名称：</w:t>
            </w:r>
          </w:p>
          <w:p>
            <w:pPr>
              <w:spacing w:line="400" w:lineRule="exact"/>
              <w:rPr>
                <w:rFonts w:ascii="宋体" w:hAnsi="宋体"/>
                <w:b/>
                <w:szCs w:val="21"/>
              </w:rPr>
            </w:pPr>
            <w:r>
              <w:rPr>
                <w:rFonts w:hint="eastAsia" w:ascii="宋体" w:hAnsi="宋体"/>
                <w:szCs w:val="21"/>
              </w:rPr>
              <w:t>投标人地址：</w:t>
            </w:r>
          </w:p>
          <w:p>
            <w:pPr>
              <w:spacing w:line="400" w:lineRule="exact"/>
              <w:rPr>
                <w:rFonts w:ascii="宋体" w:hAnsi="宋体"/>
                <w:szCs w:val="21"/>
              </w:rPr>
            </w:pPr>
            <w:r>
              <w:rPr>
                <w:rFonts w:hint="eastAsia" w:ascii="宋体" w:hAnsi="宋体"/>
                <w:bCs/>
                <w:szCs w:val="21"/>
                <w:lang w:val="en-US" w:eastAsia="zh-CN"/>
              </w:rPr>
              <w:t>中国工商银行亳州分行</w:t>
            </w:r>
            <w:r>
              <w:rPr>
                <w:rFonts w:hint="eastAsia" w:ascii="宋体" w:hAnsi="宋体"/>
                <w:bCs/>
                <w:szCs w:val="21"/>
                <w:lang w:val="zh-CN" w:eastAsia="zh-CN"/>
              </w:rPr>
              <w:t>亳州市人力资源和社会保障局会议室系统改造</w:t>
            </w:r>
            <w:r>
              <w:rPr>
                <w:rFonts w:hint="eastAsia" w:ascii="宋体" w:hAnsi="宋体"/>
                <w:bCs/>
                <w:szCs w:val="21"/>
                <w:lang w:val="en-US" w:eastAsia="zh-CN"/>
              </w:rPr>
              <w:t>合作</w:t>
            </w:r>
            <w:r>
              <w:rPr>
                <w:rFonts w:hint="eastAsia" w:ascii="宋体" w:hAnsi="宋体"/>
                <w:bCs/>
                <w:szCs w:val="21"/>
                <w:lang w:val="zh-CN" w:eastAsia="zh-CN"/>
              </w:rPr>
              <w:t>项目</w:t>
            </w:r>
            <w:r>
              <w:rPr>
                <w:rFonts w:hint="eastAsia" w:ascii="宋体" w:hAnsi="宋体"/>
                <w:bCs/>
                <w:szCs w:val="21"/>
              </w:rPr>
              <w:t>（项目名称）投标文件</w:t>
            </w:r>
          </w:p>
          <w:p>
            <w:pPr>
              <w:spacing w:line="400" w:lineRule="exact"/>
              <w:rPr>
                <w:rFonts w:ascii="宋体" w:hAnsi="宋体"/>
                <w:szCs w:val="21"/>
                <w:u w:val="single"/>
              </w:rPr>
            </w:pPr>
            <w:r>
              <w:rPr>
                <w:rFonts w:hint="eastAsia" w:ascii="宋体" w:hAnsi="宋体"/>
                <w:szCs w:val="21"/>
              </w:rPr>
              <w:t>在</w:t>
            </w:r>
            <w:r>
              <w:rPr>
                <w:rFonts w:hint="eastAsia"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28</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14</w:t>
            </w:r>
            <w:r>
              <w:rPr>
                <w:rFonts w:hint="eastAsia" w:ascii="宋体" w:hAnsi="宋体"/>
                <w:szCs w:val="21"/>
              </w:rPr>
              <w:t>时</w:t>
            </w:r>
            <w:r>
              <w:rPr>
                <w:rFonts w:hint="eastAsia" w:ascii="宋体" w:hAnsi="宋体"/>
                <w:szCs w:val="21"/>
                <w:u w:val="single"/>
                <w:lang w:val="en-US" w:eastAsia="zh-CN"/>
              </w:rPr>
              <w:t>00</w:t>
            </w:r>
            <w:r>
              <w:rPr>
                <w:rFonts w:hint="eastAsia" w:ascii="宋体" w:hAnsi="宋体"/>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40" w:type="dxa"/>
            <w:vAlign w:val="center"/>
          </w:tcPr>
          <w:p>
            <w:pPr>
              <w:spacing w:line="400" w:lineRule="exact"/>
              <w:jc w:val="center"/>
              <w:rPr>
                <w:rFonts w:ascii="宋体" w:hAnsi="宋体"/>
                <w:szCs w:val="21"/>
              </w:rPr>
            </w:pPr>
            <w:r>
              <w:rPr>
                <w:rFonts w:hint="eastAsia" w:ascii="宋体" w:hAnsi="宋体"/>
                <w:szCs w:val="21"/>
              </w:rPr>
              <w:t>32</w:t>
            </w:r>
          </w:p>
        </w:tc>
        <w:tc>
          <w:tcPr>
            <w:tcW w:w="644" w:type="dxa"/>
            <w:vAlign w:val="center"/>
          </w:tcPr>
          <w:p>
            <w:pPr>
              <w:spacing w:line="400" w:lineRule="exact"/>
              <w:jc w:val="center"/>
              <w:rPr>
                <w:rFonts w:ascii="宋体" w:hAnsi="宋体"/>
                <w:szCs w:val="21"/>
              </w:rPr>
            </w:pPr>
            <w:r>
              <w:rPr>
                <w:rFonts w:hint="eastAsia" w:ascii="宋体" w:hAnsi="宋体"/>
                <w:szCs w:val="21"/>
              </w:rPr>
              <w:t>4.2</w:t>
            </w:r>
          </w:p>
        </w:tc>
        <w:tc>
          <w:tcPr>
            <w:tcW w:w="2077" w:type="dxa"/>
            <w:vAlign w:val="center"/>
          </w:tcPr>
          <w:p>
            <w:pPr>
              <w:spacing w:line="400" w:lineRule="exact"/>
              <w:jc w:val="center"/>
              <w:rPr>
                <w:rFonts w:ascii="宋体" w:hAnsi="宋体"/>
                <w:szCs w:val="21"/>
              </w:rPr>
            </w:pPr>
            <w:r>
              <w:rPr>
                <w:rFonts w:hint="eastAsia" w:ascii="宋体" w:hAnsi="宋体"/>
                <w:szCs w:val="21"/>
              </w:rPr>
              <w:t>投标截止时间</w:t>
            </w:r>
          </w:p>
        </w:tc>
        <w:tc>
          <w:tcPr>
            <w:tcW w:w="6240" w:type="dxa"/>
            <w:vAlign w:val="center"/>
          </w:tcPr>
          <w:p>
            <w:pPr>
              <w:spacing w:line="400" w:lineRule="exact"/>
              <w:rPr>
                <w:rFonts w:ascii="宋体" w:hAnsi="宋体"/>
                <w:szCs w:val="21"/>
              </w:rPr>
            </w:pPr>
            <w:r>
              <w:rPr>
                <w:rFonts w:hint="eastAsia" w:ascii="宋体" w:hAnsi="宋体"/>
                <w:szCs w:val="21"/>
              </w:rPr>
              <w:t>投标截止时间：</w:t>
            </w:r>
            <w:r>
              <w:rPr>
                <w:rFonts w:hint="eastAsia"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28</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14</w:t>
            </w:r>
            <w:r>
              <w:rPr>
                <w:rFonts w:hint="eastAsia" w:ascii="宋体" w:hAnsi="宋体"/>
                <w:szCs w:val="21"/>
              </w:rPr>
              <w:t>时</w:t>
            </w:r>
            <w:r>
              <w:rPr>
                <w:rFonts w:hint="eastAsia" w:ascii="宋体" w:hAnsi="宋体"/>
                <w:szCs w:val="21"/>
                <w:u w:val="single"/>
                <w:lang w:val="en-US" w:eastAsia="zh-CN"/>
              </w:rPr>
              <w:t>00</w:t>
            </w:r>
            <w:r>
              <w:rPr>
                <w:rFonts w:hint="eastAsia" w:ascii="宋体" w:hAnsi="宋体"/>
                <w:szCs w:val="21"/>
              </w:rPr>
              <w:t>分</w:t>
            </w:r>
            <w:r>
              <w:rPr>
                <w:rFonts w:hint="eastAsia" w:ascii="宋体" w:hAnsi="宋体"/>
                <w:kern w:val="0"/>
                <w:szCs w:val="21"/>
              </w:rPr>
              <w:t>（北京时间）</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540" w:type="dxa"/>
            <w:vAlign w:val="center"/>
          </w:tcPr>
          <w:p>
            <w:pPr>
              <w:spacing w:line="400" w:lineRule="exact"/>
              <w:jc w:val="center"/>
              <w:rPr>
                <w:rFonts w:ascii="宋体" w:hAnsi="宋体"/>
                <w:szCs w:val="21"/>
              </w:rPr>
            </w:pPr>
            <w:r>
              <w:rPr>
                <w:rFonts w:hint="eastAsia" w:ascii="宋体" w:hAnsi="宋体"/>
                <w:szCs w:val="21"/>
              </w:rPr>
              <w:t>33</w:t>
            </w:r>
          </w:p>
        </w:tc>
        <w:tc>
          <w:tcPr>
            <w:tcW w:w="644" w:type="dxa"/>
            <w:vAlign w:val="center"/>
          </w:tcPr>
          <w:p>
            <w:pPr>
              <w:spacing w:line="400" w:lineRule="exact"/>
              <w:jc w:val="center"/>
              <w:rPr>
                <w:rFonts w:ascii="宋体" w:hAnsi="宋体"/>
                <w:szCs w:val="21"/>
              </w:rPr>
            </w:pPr>
            <w:r>
              <w:rPr>
                <w:rFonts w:hint="eastAsia" w:ascii="宋体" w:hAnsi="宋体"/>
                <w:szCs w:val="21"/>
              </w:rPr>
              <w:t>4.2</w:t>
            </w:r>
          </w:p>
        </w:tc>
        <w:tc>
          <w:tcPr>
            <w:tcW w:w="2077" w:type="dxa"/>
            <w:vAlign w:val="center"/>
          </w:tcPr>
          <w:p>
            <w:pPr>
              <w:spacing w:line="400" w:lineRule="exact"/>
              <w:jc w:val="center"/>
              <w:rPr>
                <w:rFonts w:ascii="宋体" w:hAnsi="宋体"/>
                <w:szCs w:val="21"/>
              </w:rPr>
            </w:pPr>
            <w:r>
              <w:rPr>
                <w:rFonts w:hint="eastAsia" w:ascii="宋体" w:hAnsi="宋体"/>
                <w:szCs w:val="21"/>
              </w:rPr>
              <w:t>递交投标文件地点</w:t>
            </w:r>
          </w:p>
        </w:tc>
        <w:tc>
          <w:tcPr>
            <w:tcW w:w="6240" w:type="dxa"/>
            <w:vAlign w:val="center"/>
          </w:tcPr>
          <w:p>
            <w:pPr>
              <w:spacing w:line="360" w:lineRule="exact"/>
              <w:rPr>
                <w:rFonts w:ascii="宋体" w:hAnsi="宋体"/>
                <w:szCs w:val="21"/>
              </w:rPr>
            </w:pPr>
            <w:r>
              <w:rPr>
                <w:rFonts w:hint="eastAsia" w:ascii="宋体" w:hAnsi="宋体"/>
                <w:szCs w:val="21"/>
              </w:rPr>
              <w:t>地址：合肥市包河区武汉路230号五矿大厦10楼1003室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trPr>
        <w:tc>
          <w:tcPr>
            <w:tcW w:w="540" w:type="dxa"/>
            <w:vAlign w:val="center"/>
          </w:tcPr>
          <w:p>
            <w:pPr>
              <w:spacing w:line="400" w:lineRule="exact"/>
              <w:jc w:val="center"/>
              <w:rPr>
                <w:rFonts w:ascii="宋体" w:hAnsi="宋体"/>
                <w:szCs w:val="21"/>
              </w:rPr>
            </w:pPr>
            <w:r>
              <w:rPr>
                <w:rFonts w:hint="eastAsia" w:ascii="宋体" w:hAnsi="宋体"/>
                <w:szCs w:val="21"/>
              </w:rPr>
              <w:t>34</w:t>
            </w:r>
          </w:p>
        </w:tc>
        <w:tc>
          <w:tcPr>
            <w:tcW w:w="644" w:type="dxa"/>
            <w:vAlign w:val="center"/>
          </w:tcPr>
          <w:p>
            <w:pPr>
              <w:spacing w:line="400" w:lineRule="exact"/>
              <w:jc w:val="center"/>
              <w:rPr>
                <w:rFonts w:ascii="宋体" w:hAnsi="宋体"/>
                <w:szCs w:val="21"/>
              </w:rPr>
            </w:pPr>
            <w:r>
              <w:rPr>
                <w:rFonts w:hint="eastAsia" w:ascii="宋体" w:hAnsi="宋体"/>
                <w:szCs w:val="21"/>
              </w:rPr>
              <w:t>5.1</w:t>
            </w:r>
          </w:p>
        </w:tc>
        <w:tc>
          <w:tcPr>
            <w:tcW w:w="2077" w:type="dxa"/>
            <w:vAlign w:val="center"/>
          </w:tcPr>
          <w:p>
            <w:pPr>
              <w:spacing w:line="400" w:lineRule="exact"/>
              <w:jc w:val="center"/>
              <w:rPr>
                <w:rFonts w:ascii="宋体" w:hAnsi="宋体"/>
                <w:szCs w:val="21"/>
              </w:rPr>
            </w:pPr>
            <w:r>
              <w:rPr>
                <w:rFonts w:hint="eastAsia" w:ascii="宋体" w:hAnsi="宋体"/>
                <w:szCs w:val="21"/>
              </w:rPr>
              <w:t>开标时间和地点</w:t>
            </w:r>
          </w:p>
        </w:tc>
        <w:tc>
          <w:tcPr>
            <w:tcW w:w="6240" w:type="dxa"/>
            <w:vAlign w:val="center"/>
          </w:tcPr>
          <w:p>
            <w:pPr>
              <w:spacing w:line="400" w:lineRule="exact"/>
              <w:rPr>
                <w:rFonts w:ascii="宋体" w:hAnsi="宋体"/>
                <w:kern w:val="0"/>
                <w:szCs w:val="21"/>
              </w:rPr>
            </w:pPr>
            <w:r>
              <w:rPr>
                <w:rFonts w:hint="eastAsia" w:ascii="宋体" w:hAnsi="宋体"/>
                <w:szCs w:val="21"/>
              </w:rPr>
              <w:t>开标时间：</w:t>
            </w:r>
            <w:r>
              <w:rPr>
                <w:rFonts w:hint="eastAsia"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28</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14</w:t>
            </w:r>
            <w:r>
              <w:rPr>
                <w:rFonts w:hint="eastAsia" w:ascii="宋体" w:hAnsi="宋体"/>
                <w:szCs w:val="21"/>
              </w:rPr>
              <w:t>时</w:t>
            </w:r>
            <w:r>
              <w:rPr>
                <w:rFonts w:hint="eastAsia" w:ascii="宋体" w:hAnsi="宋体"/>
                <w:szCs w:val="21"/>
                <w:u w:val="single"/>
                <w:lang w:val="en-US" w:eastAsia="zh-CN"/>
              </w:rPr>
              <w:t>00</w:t>
            </w:r>
            <w:r>
              <w:rPr>
                <w:rFonts w:hint="eastAsia" w:ascii="宋体" w:hAnsi="宋体"/>
                <w:szCs w:val="21"/>
              </w:rPr>
              <w:t>分</w:t>
            </w:r>
            <w:r>
              <w:rPr>
                <w:rFonts w:hint="eastAsia" w:ascii="宋体" w:hAnsi="宋体"/>
                <w:kern w:val="0"/>
                <w:szCs w:val="21"/>
              </w:rPr>
              <w:t>（北京时间）</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开标地点: 同</w:t>
            </w:r>
            <w:r>
              <w:rPr>
                <w:rFonts w:hint="eastAsia" w:ascii="宋体" w:hAnsi="宋体" w:cs="宋体"/>
                <w:szCs w:val="21"/>
              </w:rPr>
              <w:t>递交</w:t>
            </w:r>
            <w:r>
              <w:rPr>
                <w:rFonts w:hint="eastAsia" w:ascii="宋体" w:hAnsi="宋体"/>
                <w:szCs w:val="21"/>
              </w:rPr>
              <w:t>投标文件地点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39" w:hRule="atLeast"/>
        </w:trPr>
        <w:tc>
          <w:tcPr>
            <w:tcW w:w="540" w:type="dxa"/>
            <w:vAlign w:val="center"/>
          </w:tcPr>
          <w:p>
            <w:pPr>
              <w:spacing w:line="400" w:lineRule="exact"/>
              <w:jc w:val="center"/>
              <w:rPr>
                <w:rFonts w:ascii="宋体" w:hAnsi="宋体"/>
                <w:szCs w:val="21"/>
              </w:rPr>
            </w:pPr>
            <w:r>
              <w:rPr>
                <w:rFonts w:hint="eastAsia" w:ascii="宋体" w:hAnsi="宋体"/>
                <w:szCs w:val="21"/>
              </w:rPr>
              <w:t>35</w:t>
            </w:r>
          </w:p>
        </w:tc>
        <w:tc>
          <w:tcPr>
            <w:tcW w:w="644" w:type="dxa"/>
            <w:vAlign w:val="center"/>
          </w:tcPr>
          <w:p>
            <w:pPr>
              <w:spacing w:line="400" w:lineRule="exact"/>
              <w:jc w:val="center"/>
              <w:rPr>
                <w:rFonts w:ascii="宋体" w:hAnsi="宋体"/>
                <w:szCs w:val="21"/>
              </w:rPr>
            </w:pPr>
            <w:r>
              <w:rPr>
                <w:rFonts w:hint="eastAsia" w:ascii="宋体" w:hAnsi="宋体"/>
                <w:szCs w:val="21"/>
              </w:rPr>
              <w:t>5.1</w:t>
            </w:r>
          </w:p>
        </w:tc>
        <w:tc>
          <w:tcPr>
            <w:tcW w:w="2077" w:type="dxa"/>
            <w:vAlign w:val="center"/>
          </w:tcPr>
          <w:p>
            <w:pPr>
              <w:spacing w:line="400" w:lineRule="exact"/>
              <w:jc w:val="center"/>
              <w:rPr>
                <w:rFonts w:ascii="宋体" w:hAnsi="宋体"/>
                <w:bCs/>
                <w:szCs w:val="21"/>
              </w:rPr>
            </w:pPr>
            <w:r>
              <w:rPr>
                <w:rFonts w:hint="eastAsia" w:ascii="宋体" w:hAnsi="宋体"/>
                <w:bCs/>
                <w:szCs w:val="21"/>
              </w:rPr>
              <w:t>人员到场</w:t>
            </w:r>
          </w:p>
        </w:tc>
        <w:tc>
          <w:tcPr>
            <w:tcW w:w="6240" w:type="dxa"/>
            <w:vAlign w:val="center"/>
          </w:tcPr>
          <w:p>
            <w:pPr>
              <w:spacing w:line="400" w:lineRule="exact"/>
            </w:pPr>
            <w:r>
              <w:rPr>
                <w:rFonts w:hint="eastAsia"/>
              </w:rPr>
              <w:t>投标人的法定代表人或授权委托人持</w:t>
            </w:r>
            <w:r>
              <w:rPr>
                <w:rFonts w:hint="eastAsia"/>
                <w:b/>
                <w:bCs/>
              </w:rPr>
              <w:t>本人身份证（原件）</w:t>
            </w:r>
            <w:r>
              <w:rPr>
                <w:rFonts w:hint="eastAsia"/>
              </w:rPr>
              <w:t>、法人身份证明文件（原件）或</w:t>
            </w:r>
            <w:r>
              <w:rPr>
                <w:rFonts w:hint="eastAsia"/>
                <w:b/>
                <w:bCs/>
              </w:rPr>
              <w:t>法人授权委托书（原件）</w:t>
            </w:r>
            <w:r>
              <w:rPr>
                <w:rFonts w:hint="eastAsia"/>
              </w:rPr>
              <w:t>、</w:t>
            </w:r>
            <w:r>
              <w:rPr>
                <w:rFonts w:hint="eastAsia"/>
                <w:b/>
                <w:bCs/>
              </w:rPr>
              <w:t>投标保证金银行回单（退原件，留复印件）</w:t>
            </w:r>
            <w:r>
              <w:rPr>
                <w:rFonts w:hint="eastAsia"/>
              </w:rPr>
              <w:t>按时到达开标现场由招标代理机构当场核验。未通过核验的，招标人拒绝其参与投标。</w:t>
            </w:r>
          </w:p>
          <w:p>
            <w:pPr>
              <w:spacing w:line="400" w:lineRule="exact"/>
            </w:pPr>
            <w:r>
              <w:rPr>
                <w:rFonts w:hint="eastAsia"/>
                <w:b/>
                <w:bCs/>
              </w:rPr>
              <w:t>（若因新型冠状病毒肺炎疫情发展，不允许人员到场的，招标代理机构将提前另行通知）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540" w:type="dxa"/>
            <w:vAlign w:val="center"/>
          </w:tcPr>
          <w:p>
            <w:pPr>
              <w:spacing w:line="400" w:lineRule="exact"/>
              <w:jc w:val="center"/>
              <w:rPr>
                <w:rFonts w:ascii="宋体" w:hAnsi="宋体"/>
                <w:szCs w:val="21"/>
              </w:rPr>
            </w:pPr>
            <w:r>
              <w:rPr>
                <w:rFonts w:hint="eastAsia" w:ascii="宋体" w:hAnsi="宋体"/>
                <w:szCs w:val="21"/>
              </w:rPr>
              <w:t>36</w:t>
            </w:r>
          </w:p>
        </w:tc>
        <w:tc>
          <w:tcPr>
            <w:tcW w:w="644" w:type="dxa"/>
            <w:vAlign w:val="center"/>
          </w:tcPr>
          <w:p>
            <w:pPr>
              <w:spacing w:line="400" w:lineRule="exact"/>
              <w:jc w:val="center"/>
              <w:rPr>
                <w:rFonts w:ascii="宋体" w:hAnsi="宋体"/>
                <w:szCs w:val="21"/>
              </w:rPr>
            </w:pPr>
            <w:r>
              <w:rPr>
                <w:rFonts w:hint="eastAsia" w:ascii="宋体" w:hAnsi="宋体"/>
                <w:szCs w:val="21"/>
              </w:rPr>
              <w:t>6.3</w:t>
            </w:r>
          </w:p>
        </w:tc>
        <w:tc>
          <w:tcPr>
            <w:tcW w:w="2077" w:type="dxa"/>
            <w:vAlign w:val="center"/>
          </w:tcPr>
          <w:p>
            <w:pPr>
              <w:spacing w:line="400" w:lineRule="exact"/>
              <w:jc w:val="center"/>
              <w:rPr>
                <w:rFonts w:ascii="宋体" w:hAnsi="宋体"/>
                <w:szCs w:val="21"/>
              </w:rPr>
            </w:pPr>
            <w:r>
              <w:rPr>
                <w:rFonts w:hint="eastAsia" w:ascii="宋体" w:hAnsi="宋体"/>
                <w:szCs w:val="21"/>
              </w:rPr>
              <w:t>评标办法</w:t>
            </w:r>
          </w:p>
        </w:tc>
        <w:tc>
          <w:tcPr>
            <w:tcW w:w="6240" w:type="dxa"/>
            <w:vAlign w:val="center"/>
          </w:tcPr>
          <w:p>
            <w:pPr>
              <w:spacing w:line="400" w:lineRule="exact"/>
              <w:rPr>
                <w:rFonts w:ascii="宋体" w:hAnsi="宋体"/>
                <w:szCs w:val="21"/>
              </w:rPr>
            </w:pPr>
            <w:r>
              <w:rPr>
                <w:rFonts w:hint="eastAsia" w:ascii="宋体" w:hAnsi="宋体"/>
                <w:szCs w:val="21"/>
              </w:rPr>
              <w:t>□  经评审合理低价法</w:t>
            </w:r>
          </w:p>
          <w:p>
            <w:pPr>
              <w:spacing w:line="400" w:lineRule="exact"/>
              <w:rPr>
                <w:rFonts w:ascii="宋体" w:hAnsi="宋体"/>
                <w:szCs w:val="21"/>
              </w:rPr>
            </w:pPr>
            <w:r>
              <w:rPr>
                <w:rFonts w:hint="eastAsia" w:ascii="宋体" w:hAnsi="宋体"/>
                <w:szCs w:val="21"/>
              </w:rPr>
              <w:t>√  综合评分法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540" w:type="dxa"/>
            <w:vAlign w:val="center"/>
          </w:tcPr>
          <w:p>
            <w:pPr>
              <w:spacing w:line="400" w:lineRule="exact"/>
              <w:jc w:val="center"/>
              <w:rPr>
                <w:rFonts w:ascii="宋体" w:hAnsi="宋体"/>
                <w:szCs w:val="21"/>
              </w:rPr>
            </w:pPr>
            <w:r>
              <w:rPr>
                <w:rFonts w:hint="eastAsia" w:ascii="宋体" w:hAnsi="宋体"/>
                <w:szCs w:val="21"/>
              </w:rPr>
              <w:t>37</w:t>
            </w:r>
          </w:p>
        </w:tc>
        <w:tc>
          <w:tcPr>
            <w:tcW w:w="644" w:type="dxa"/>
            <w:vAlign w:val="center"/>
          </w:tcPr>
          <w:p>
            <w:pPr>
              <w:spacing w:line="400" w:lineRule="exact"/>
              <w:jc w:val="center"/>
              <w:rPr>
                <w:rFonts w:ascii="宋体" w:hAnsi="宋体"/>
                <w:szCs w:val="21"/>
              </w:rPr>
            </w:pPr>
            <w:r>
              <w:rPr>
                <w:rFonts w:hint="eastAsia" w:ascii="宋体" w:hAnsi="宋体"/>
                <w:szCs w:val="21"/>
              </w:rPr>
              <w:t>7.1</w:t>
            </w:r>
          </w:p>
        </w:tc>
        <w:tc>
          <w:tcPr>
            <w:tcW w:w="2077" w:type="dxa"/>
            <w:vAlign w:val="center"/>
          </w:tcPr>
          <w:p>
            <w:pPr>
              <w:spacing w:line="400" w:lineRule="exact"/>
              <w:jc w:val="center"/>
              <w:rPr>
                <w:rFonts w:ascii="宋体" w:hAnsi="宋体"/>
                <w:szCs w:val="21"/>
              </w:rPr>
            </w:pPr>
            <w:r>
              <w:rPr>
                <w:rFonts w:hint="eastAsia" w:ascii="宋体" w:hAnsi="宋体"/>
                <w:szCs w:val="21"/>
              </w:rPr>
              <w:t>中标公示地点</w:t>
            </w:r>
          </w:p>
          <w:p>
            <w:pPr>
              <w:spacing w:line="400" w:lineRule="exact"/>
              <w:jc w:val="center"/>
              <w:rPr>
                <w:rFonts w:ascii="宋体" w:hAnsi="宋体"/>
                <w:szCs w:val="21"/>
              </w:rPr>
            </w:pPr>
            <w:r>
              <w:rPr>
                <w:rFonts w:hint="eastAsia" w:ascii="宋体" w:hAnsi="宋体"/>
                <w:szCs w:val="21"/>
              </w:rPr>
              <w:t>（或网址）</w:t>
            </w:r>
          </w:p>
        </w:tc>
        <w:tc>
          <w:tcPr>
            <w:tcW w:w="6240" w:type="dxa"/>
            <w:vAlign w:val="center"/>
          </w:tcPr>
          <w:p>
            <w:pPr>
              <w:spacing w:line="400" w:lineRule="exact"/>
              <w:jc w:val="left"/>
              <w:rPr>
                <w:rFonts w:ascii="宋体" w:hAnsi="宋体"/>
                <w:szCs w:val="21"/>
              </w:rPr>
            </w:pPr>
            <w:r>
              <w:rPr>
                <w:rFonts w:hint="eastAsia" w:ascii="宋体" w:hAnsi="宋体"/>
                <w:szCs w:val="21"/>
              </w:rPr>
              <w:t>安徽省招标标投标信息网（http://www.ahtba.org.cn/）上发布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540" w:type="dxa"/>
            <w:vAlign w:val="center"/>
          </w:tcPr>
          <w:p>
            <w:pPr>
              <w:spacing w:line="400" w:lineRule="exact"/>
              <w:jc w:val="center"/>
              <w:rPr>
                <w:rFonts w:ascii="宋体" w:hAnsi="宋体"/>
                <w:szCs w:val="21"/>
              </w:rPr>
            </w:pPr>
            <w:r>
              <w:rPr>
                <w:rFonts w:hint="eastAsia" w:ascii="宋体" w:hAnsi="宋体"/>
                <w:szCs w:val="21"/>
              </w:rPr>
              <w:t>38</w:t>
            </w:r>
          </w:p>
        </w:tc>
        <w:tc>
          <w:tcPr>
            <w:tcW w:w="644" w:type="dxa"/>
            <w:vAlign w:val="center"/>
          </w:tcPr>
          <w:p>
            <w:pPr>
              <w:spacing w:line="400" w:lineRule="exact"/>
              <w:jc w:val="center"/>
              <w:rPr>
                <w:rFonts w:ascii="宋体" w:hAnsi="宋体"/>
                <w:szCs w:val="21"/>
              </w:rPr>
            </w:pPr>
            <w:r>
              <w:rPr>
                <w:rFonts w:hint="eastAsia" w:ascii="宋体" w:hAnsi="宋体"/>
                <w:szCs w:val="21"/>
              </w:rPr>
              <w:t>7.1</w:t>
            </w:r>
          </w:p>
        </w:tc>
        <w:tc>
          <w:tcPr>
            <w:tcW w:w="2077" w:type="dxa"/>
            <w:vAlign w:val="center"/>
          </w:tcPr>
          <w:p>
            <w:pPr>
              <w:spacing w:line="400" w:lineRule="exact"/>
              <w:jc w:val="center"/>
              <w:rPr>
                <w:rFonts w:ascii="宋体" w:hAnsi="宋体"/>
                <w:szCs w:val="21"/>
              </w:rPr>
            </w:pPr>
            <w:r>
              <w:rPr>
                <w:rFonts w:hint="eastAsia" w:ascii="宋体" w:hAnsi="宋体"/>
                <w:szCs w:val="21"/>
              </w:rPr>
              <w:t>定标方式</w:t>
            </w:r>
          </w:p>
        </w:tc>
        <w:tc>
          <w:tcPr>
            <w:tcW w:w="6240" w:type="dxa"/>
            <w:vAlign w:val="center"/>
          </w:tcPr>
          <w:p>
            <w:pPr>
              <w:spacing w:line="400" w:lineRule="exact"/>
              <w:rPr>
                <w:rFonts w:ascii="宋体" w:hAnsi="宋体"/>
                <w:szCs w:val="21"/>
              </w:rPr>
            </w:pPr>
            <w:r>
              <w:rPr>
                <w:rFonts w:hint="eastAsia" w:ascii="宋体" w:hAnsi="宋体"/>
                <w:szCs w:val="21"/>
              </w:rPr>
              <w:t>√  招标人依法确定中标人</w:t>
            </w:r>
          </w:p>
          <w:p>
            <w:pPr>
              <w:spacing w:line="400" w:lineRule="exact"/>
              <w:rPr>
                <w:rFonts w:ascii="宋体" w:hAnsi="宋体"/>
                <w:szCs w:val="21"/>
              </w:rPr>
            </w:pPr>
            <w:r>
              <w:rPr>
                <w:rFonts w:hint="eastAsia" w:ascii="宋体" w:hAnsi="宋体"/>
                <w:szCs w:val="21"/>
              </w:rPr>
              <w:t>□  招标人委托评标委员会依法直接确定中标人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trPr>
        <w:tc>
          <w:tcPr>
            <w:tcW w:w="540" w:type="dxa"/>
            <w:vAlign w:val="center"/>
          </w:tcPr>
          <w:p>
            <w:pPr>
              <w:spacing w:line="400" w:lineRule="exact"/>
              <w:jc w:val="center"/>
              <w:rPr>
                <w:rFonts w:ascii="宋体" w:hAnsi="宋体"/>
                <w:szCs w:val="21"/>
              </w:rPr>
            </w:pPr>
            <w:r>
              <w:rPr>
                <w:rFonts w:hint="eastAsia" w:ascii="宋体" w:hAnsi="宋体"/>
                <w:szCs w:val="21"/>
              </w:rPr>
              <w:t>39</w:t>
            </w:r>
          </w:p>
        </w:tc>
        <w:tc>
          <w:tcPr>
            <w:tcW w:w="644" w:type="dxa"/>
            <w:vAlign w:val="center"/>
          </w:tcPr>
          <w:p>
            <w:pPr>
              <w:spacing w:line="400" w:lineRule="exact"/>
              <w:jc w:val="center"/>
              <w:rPr>
                <w:rFonts w:ascii="宋体" w:hAnsi="宋体"/>
                <w:szCs w:val="21"/>
              </w:rPr>
            </w:pPr>
            <w:r>
              <w:rPr>
                <w:rFonts w:hint="eastAsia" w:ascii="宋体" w:hAnsi="宋体"/>
                <w:szCs w:val="21"/>
              </w:rPr>
              <w:t>7.3</w:t>
            </w:r>
          </w:p>
        </w:tc>
        <w:tc>
          <w:tcPr>
            <w:tcW w:w="2077" w:type="dxa"/>
            <w:vAlign w:val="center"/>
          </w:tcPr>
          <w:p>
            <w:pPr>
              <w:spacing w:line="360" w:lineRule="exact"/>
              <w:jc w:val="center"/>
              <w:rPr>
                <w:rFonts w:ascii="宋体" w:hAnsi="宋体"/>
                <w:color w:val="auto"/>
                <w:szCs w:val="21"/>
              </w:rPr>
            </w:pPr>
            <w:r>
              <w:rPr>
                <w:rFonts w:hint="eastAsia" w:ascii="宋体" w:hAnsi="宋体" w:cs="宋体"/>
                <w:color w:val="auto"/>
                <w:szCs w:val="21"/>
              </w:rPr>
              <w:t>履约担保</w:t>
            </w:r>
          </w:p>
        </w:tc>
        <w:tc>
          <w:tcPr>
            <w:tcW w:w="6240" w:type="dxa"/>
            <w:vAlign w:val="center"/>
          </w:tcPr>
          <w:p>
            <w:pPr>
              <w:spacing w:line="400" w:lineRule="exact"/>
              <w:jc w:val="left"/>
              <w:rPr>
                <w:rFonts w:ascii="宋体" w:hAnsi="宋体"/>
                <w:color w:val="auto"/>
                <w:szCs w:val="21"/>
              </w:rPr>
            </w:pPr>
            <w:r>
              <w:rPr>
                <w:rFonts w:hint="eastAsia" w:ascii="宋体" w:hAnsi="宋体"/>
                <w:color w:val="auto"/>
                <w:szCs w:val="21"/>
              </w:rPr>
              <w:t>合同价的3%。</w:t>
            </w:r>
          </w:p>
          <w:p>
            <w:pPr>
              <w:spacing w:line="400" w:lineRule="exact"/>
              <w:jc w:val="left"/>
              <w:rPr>
                <w:rFonts w:ascii="宋体" w:hAnsi="宋体"/>
                <w:color w:val="auto"/>
                <w:szCs w:val="21"/>
              </w:rPr>
            </w:pPr>
            <w:r>
              <w:rPr>
                <w:rFonts w:hint="eastAsia" w:ascii="宋体" w:hAnsi="宋体"/>
                <w:color w:val="auto"/>
                <w:szCs w:val="21"/>
              </w:rPr>
              <w:t>履约保证金递交形式：转账、电汇或现金。</w:t>
            </w:r>
          </w:p>
          <w:p>
            <w:pPr>
              <w:spacing w:line="360" w:lineRule="exact"/>
              <w:jc w:val="left"/>
              <w:rPr>
                <w:rFonts w:ascii="宋体" w:hAnsi="宋体"/>
                <w:color w:val="auto"/>
                <w:szCs w:val="21"/>
              </w:rPr>
            </w:pPr>
            <w:r>
              <w:rPr>
                <w:rFonts w:hint="eastAsia" w:ascii="宋体" w:hAnsi="宋体"/>
                <w:color w:val="auto"/>
                <w:szCs w:val="21"/>
              </w:rPr>
              <w:t>履约保证金退还：履约保证金有效期满7日内（最迟不得超过项目验收通过后28天）。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40" w:type="dxa"/>
            <w:vAlign w:val="center"/>
          </w:tcPr>
          <w:p>
            <w:pPr>
              <w:spacing w:line="400" w:lineRule="exact"/>
              <w:jc w:val="center"/>
              <w:rPr>
                <w:rFonts w:ascii="宋体" w:hAnsi="宋体"/>
                <w:szCs w:val="21"/>
              </w:rPr>
            </w:pPr>
            <w:r>
              <w:rPr>
                <w:rFonts w:hint="eastAsia" w:ascii="宋体" w:hAnsi="宋体"/>
                <w:szCs w:val="21"/>
              </w:rPr>
              <w:t>40</w:t>
            </w:r>
          </w:p>
        </w:tc>
        <w:tc>
          <w:tcPr>
            <w:tcW w:w="644" w:type="dxa"/>
            <w:vAlign w:val="center"/>
          </w:tcPr>
          <w:p>
            <w:pPr>
              <w:spacing w:line="400" w:lineRule="exact"/>
              <w:jc w:val="center"/>
              <w:rPr>
                <w:rFonts w:ascii="宋体" w:hAnsi="宋体"/>
                <w:szCs w:val="21"/>
              </w:rPr>
            </w:pPr>
          </w:p>
        </w:tc>
        <w:tc>
          <w:tcPr>
            <w:tcW w:w="8317" w:type="dxa"/>
            <w:gridSpan w:val="2"/>
            <w:vAlign w:val="center"/>
          </w:tcPr>
          <w:p>
            <w:pPr>
              <w:spacing w:line="400" w:lineRule="exact"/>
              <w:jc w:val="center"/>
              <w:rPr>
                <w:rFonts w:ascii="宋体" w:hAnsi="宋体"/>
                <w:szCs w:val="21"/>
              </w:rPr>
            </w:pPr>
            <w:r>
              <w:rPr>
                <w:rFonts w:hint="eastAsia" w:ascii="宋体" w:hAnsi="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59" w:hRule="atLeast"/>
        </w:trPr>
        <w:tc>
          <w:tcPr>
            <w:tcW w:w="1184" w:type="dxa"/>
            <w:gridSpan w:val="2"/>
            <w:vAlign w:val="center"/>
          </w:tcPr>
          <w:p>
            <w:pPr>
              <w:spacing w:line="400" w:lineRule="exact"/>
              <w:jc w:val="center"/>
              <w:rPr>
                <w:rFonts w:ascii="宋体" w:hAnsi="宋体"/>
                <w:szCs w:val="21"/>
              </w:rPr>
            </w:pPr>
            <w:r>
              <w:rPr>
                <w:rFonts w:hint="eastAsia" w:ascii="宋体" w:hAnsi="宋体"/>
                <w:b/>
                <w:szCs w:val="21"/>
              </w:rPr>
              <w:t>解释权</w:t>
            </w:r>
          </w:p>
        </w:tc>
        <w:tc>
          <w:tcPr>
            <w:tcW w:w="8317" w:type="dxa"/>
            <w:gridSpan w:val="2"/>
            <w:vAlign w:val="center"/>
          </w:tcPr>
          <w:p>
            <w:pPr>
              <w:spacing w:line="400" w:lineRule="exact"/>
              <w:rPr>
                <w:rFonts w:ascii="宋体" w:hAnsi="宋体"/>
                <w:szCs w:val="21"/>
              </w:rPr>
            </w:pPr>
            <w:r>
              <w:rPr>
                <w:rFonts w:hint="eastAsia" w:ascii="宋体" w:hAnsi="宋体" w:cs="Arial"/>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招标代理机构负责解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50" w:hRule="atLeast"/>
        </w:trPr>
        <w:tc>
          <w:tcPr>
            <w:tcW w:w="1184" w:type="dxa"/>
            <w:gridSpan w:val="2"/>
            <w:vAlign w:val="center"/>
          </w:tcPr>
          <w:p>
            <w:pPr>
              <w:spacing w:line="340" w:lineRule="exact"/>
              <w:jc w:val="center"/>
              <w:rPr>
                <w:rFonts w:ascii="宋体" w:hAnsi="宋体"/>
                <w:b/>
                <w:szCs w:val="21"/>
              </w:rPr>
            </w:pPr>
            <w:r>
              <w:rPr>
                <w:rFonts w:hint="eastAsia" w:ascii="宋体" w:hAnsi="宋体"/>
                <w:b/>
                <w:szCs w:val="21"/>
              </w:rPr>
              <w:t>异议（质疑）</w:t>
            </w:r>
          </w:p>
        </w:tc>
        <w:tc>
          <w:tcPr>
            <w:tcW w:w="8317" w:type="dxa"/>
            <w:gridSpan w:val="2"/>
            <w:vAlign w:val="center"/>
          </w:tcPr>
          <w:p>
            <w:pPr>
              <w:snapToGrid w:val="0"/>
              <w:spacing w:line="380" w:lineRule="exact"/>
            </w:pPr>
            <w:r>
              <w:rPr>
                <w:rFonts w:hint="eastAsia"/>
              </w:rPr>
              <w:t>1、受理异议（质疑）的联系方式：</w:t>
            </w:r>
          </w:p>
          <w:p>
            <w:pPr>
              <w:snapToGrid w:val="0"/>
              <w:spacing w:line="380" w:lineRule="exact"/>
            </w:pPr>
            <w:r>
              <w:rPr>
                <w:rFonts w:hint="eastAsia"/>
              </w:rPr>
              <w:t>招标代理机构：五矿国际招标有限责任公司</w:t>
            </w:r>
          </w:p>
          <w:p>
            <w:pPr>
              <w:spacing w:line="380" w:lineRule="exact"/>
            </w:pPr>
            <w:r>
              <w:rPr>
                <w:rFonts w:hint="eastAsia"/>
              </w:rPr>
              <w:t>安徽招投标中心地址：合肥市包河区武汉路230号五矿大厦10楼</w:t>
            </w:r>
          </w:p>
          <w:p>
            <w:pPr>
              <w:snapToGrid w:val="0"/>
              <w:spacing w:line="380" w:lineRule="exact"/>
            </w:pPr>
            <w:r>
              <w:rPr>
                <w:rFonts w:hint="eastAsia"/>
              </w:rPr>
              <w:t>联系电话：0551-62612638</w:t>
            </w:r>
          </w:p>
          <w:p>
            <w:pPr>
              <w:snapToGrid w:val="0"/>
              <w:spacing w:line="380" w:lineRule="exact"/>
            </w:pPr>
            <w:r>
              <w:rPr>
                <w:rFonts w:hint="eastAsia"/>
              </w:rPr>
              <w:t>联 系 人：费工</w:t>
            </w:r>
          </w:p>
          <w:p>
            <w:pPr>
              <w:snapToGrid w:val="0"/>
              <w:spacing w:line="380" w:lineRule="exact"/>
            </w:pPr>
            <w:r>
              <w:rPr>
                <w:rFonts w:hint="eastAsia"/>
              </w:rPr>
              <w:t>2、对招标文件的异议（质疑）：</w:t>
            </w:r>
          </w:p>
          <w:p>
            <w:pPr>
              <w:snapToGrid w:val="0"/>
              <w:spacing w:line="380" w:lineRule="exact"/>
            </w:pPr>
            <w:r>
              <w:rPr>
                <w:rFonts w:hint="eastAsia"/>
              </w:rPr>
              <w:t>投标人未在本招标文件规定的时间内提出澄清要求或未在投标截止时间前10天提出异议（质疑）的，视为其对本文件无异议（质疑），不得在投标截止时间前10天后对招标文件相关内容提出异议（质疑）或投诉。相关部门依法不予受理。</w:t>
            </w:r>
          </w:p>
          <w:p>
            <w:pPr>
              <w:snapToGrid w:val="0"/>
              <w:spacing w:line="380" w:lineRule="exact"/>
            </w:pPr>
            <w:r>
              <w:rPr>
                <w:rFonts w:hint="eastAsia"/>
              </w:rPr>
              <w:t>3、对开标过程提出异议（质疑）的，应于开标现场提出。</w:t>
            </w:r>
          </w:p>
          <w:p>
            <w:pPr>
              <w:snapToGrid w:val="0"/>
              <w:spacing w:line="380" w:lineRule="exact"/>
            </w:pPr>
            <w:r>
              <w:rPr>
                <w:rFonts w:hint="eastAsia"/>
              </w:rPr>
              <w:t>4、对评标结果的异议（质疑）：</w:t>
            </w:r>
          </w:p>
          <w:p>
            <w:pPr>
              <w:snapToGrid w:val="0"/>
              <w:spacing w:line="380" w:lineRule="exact"/>
            </w:pPr>
            <w:r>
              <w:rPr>
                <w:rFonts w:hint="eastAsia"/>
              </w:rPr>
              <w:t>招标投标相关各方对评标结果有异议（质疑），应在公示期内以书面形式向五矿国际招标有限责任公司提出。</w:t>
            </w:r>
          </w:p>
          <w:p>
            <w:pPr>
              <w:snapToGrid w:val="0"/>
              <w:spacing w:line="380" w:lineRule="exact"/>
            </w:pPr>
            <w:r>
              <w:rPr>
                <w:rFonts w:hint="eastAsia"/>
              </w:rPr>
              <w:t>（1）书面异议（质疑）材料应当包括以下内容：</w:t>
            </w:r>
          </w:p>
          <w:p>
            <w:pPr>
              <w:snapToGrid w:val="0"/>
              <w:spacing w:line="380" w:lineRule="exact"/>
            </w:pPr>
            <w:r>
              <w:rPr>
                <w:rFonts w:hint="eastAsia"/>
              </w:rPr>
              <w:t>①提出异议（质疑）的投标人的名称、地址及有效联系方式；</w:t>
            </w:r>
          </w:p>
          <w:p>
            <w:pPr>
              <w:snapToGrid w:val="0"/>
              <w:spacing w:line="380" w:lineRule="exact"/>
            </w:pPr>
            <w:r>
              <w:rPr>
                <w:rFonts w:hint="eastAsia"/>
              </w:rPr>
              <w:t>②异议（质疑）对象的投标人的名称；</w:t>
            </w:r>
          </w:p>
          <w:p>
            <w:pPr>
              <w:snapToGrid w:val="0"/>
              <w:spacing w:line="380" w:lineRule="exact"/>
            </w:pPr>
            <w:r>
              <w:rPr>
                <w:rFonts w:hint="eastAsia"/>
              </w:rPr>
              <w:t>③异议（质疑）事项的基本事实；</w:t>
            </w:r>
          </w:p>
          <w:p>
            <w:pPr>
              <w:snapToGrid w:val="0"/>
              <w:spacing w:line="380" w:lineRule="exact"/>
            </w:pPr>
            <w:r>
              <w:rPr>
                <w:rFonts w:hint="eastAsia"/>
              </w:rPr>
              <w:t>④相关请求和主张；</w:t>
            </w:r>
          </w:p>
          <w:p>
            <w:pPr>
              <w:snapToGrid w:val="0"/>
              <w:spacing w:line="380" w:lineRule="exact"/>
            </w:pPr>
            <w:r>
              <w:rPr>
                <w:rFonts w:hint="eastAsia"/>
              </w:rPr>
              <w:t>⑤有效线索和相关证明材料；</w:t>
            </w:r>
          </w:p>
          <w:p>
            <w:pPr>
              <w:snapToGrid w:val="0"/>
              <w:spacing w:line="380" w:lineRule="exact"/>
            </w:pPr>
            <w:r>
              <w:rPr>
                <w:rFonts w:hint="eastAsia"/>
              </w:rPr>
              <w:t>⑥提出异议（质疑）的投标人是法人的，异议（质疑）材料必须由其法定代表人签字并加盖单位公章，并附法定代表人及其委托联系人的有效身份证明复印件、注明联系方式；其它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以中文译本为准。</w:t>
            </w:r>
          </w:p>
          <w:p>
            <w:pPr>
              <w:snapToGrid w:val="0"/>
              <w:spacing w:line="380" w:lineRule="exact"/>
            </w:pPr>
            <w:r>
              <w:rPr>
                <w:rFonts w:hint="eastAsia"/>
              </w:rPr>
              <w:t>（2）有下列情形的异议（质疑）材料不予受理：</w:t>
            </w:r>
          </w:p>
          <w:p>
            <w:pPr>
              <w:snapToGrid w:val="0"/>
              <w:spacing w:line="380" w:lineRule="exact"/>
            </w:pPr>
            <w:r>
              <w:rPr>
                <w:rFonts w:hint="eastAsia"/>
              </w:rPr>
              <w:t>①书面异议（质疑）材料不完整的；</w:t>
            </w:r>
          </w:p>
          <w:p>
            <w:pPr>
              <w:snapToGrid w:val="0"/>
              <w:spacing w:line="380" w:lineRule="exact"/>
            </w:pPr>
            <w:r>
              <w:rPr>
                <w:rFonts w:hint="eastAsia"/>
              </w:rPr>
              <w:t>②异议（质疑）事项含有主观猜测等内容且无充分有效证据的；</w:t>
            </w:r>
          </w:p>
          <w:p>
            <w:pPr>
              <w:snapToGrid w:val="0"/>
              <w:spacing w:line="380" w:lineRule="exact"/>
            </w:pPr>
            <w:r>
              <w:rPr>
                <w:rFonts w:hint="eastAsia"/>
              </w:rPr>
              <w:t>③对其他投标人的投标文件详细内容异议（质疑），无法提供合法来源渠道的；</w:t>
            </w:r>
          </w:p>
          <w:p>
            <w:pPr>
              <w:snapToGrid w:val="0"/>
              <w:spacing w:line="380" w:lineRule="exact"/>
            </w:pPr>
            <w:r>
              <w:rPr>
                <w:rFonts w:hint="eastAsia"/>
              </w:rPr>
              <w:t>④违反相关法律法规规定的。</w:t>
            </w:r>
          </w:p>
          <w:p>
            <w:pPr>
              <w:snapToGrid w:val="0"/>
              <w:spacing w:line="380" w:lineRule="exact"/>
            </w:pPr>
            <w:r>
              <w:rPr>
                <w:rFonts w:hint="eastAsia"/>
              </w:rPr>
              <w:t>（3）对于虚假、恶意异议（质疑）：</w:t>
            </w:r>
          </w:p>
          <w:p>
            <w:pPr>
              <w:spacing w:line="380" w:lineRule="exact"/>
            </w:pPr>
            <w:r>
              <w:rPr>
                <w:rFonts w:hint="eastAsia"/>
              </w:rPr>
              <w:t>提出异议（质疑）的投标人不得以异议（质疑）为名进行虚假、恶意异议（质疑），干扰招标投标活动的正常进行。对于提供虚假材料，以异议（质疑）为名谋取中标或恶意异议（质疑）扰乱招标工作秩序的，招标代理机构将其记入“不守信投标记录档案”，并在相关网络平台公告，同时将报请招投标监管部门处理。</w:t>
            </w:r>
          </w:p>
        </w:tc>
      </w:tr>
      <w:bookmarkEnd w:id="11"/>
    </w:tbl>
    <w:p>
      <w:pPr>
        <w:spacing w:before="120" w:beforeLines="50" w:after="120" w:afterLines="50" w:line="460" w:lineRule="exact"/>
        <w:rPr>
          <w:rFonts w:ascii="宋体" w:hAnsi="宋体"/>
          <w:sz w:val="32"/>
        </w:rPr>
      </w:pPr>
    </w:p>
    <w:p>
      <w:pPr>
        <w:spacing w:before="480" w:beforeLines="200" w:after="120" w:afterLines="50" w:line="460" w:lineRule="exact"/>
        <w:rPr>
          <w:rFonts w:ascii="宋体" w:hAnsi="宋体"/>
          <w:sz w:val="36"/>
          <w:szCs w:val="36"/>
        </w:rPr>
        <w:sectPr>
          <w:headerReference r:id="rId5" w:type="default"/>
          <w:pgSz w:w="11907" w:h="16840"/>
          <w:pgMar w:top="1440" w:right="1800" w:bottom="1440" w:left="1463" w:header="851" w:footer="992" w:gutter="0"/>
          <w:cols w:space="720" w:num="1"/>
          <w:docGrid w:linePitch="312" w:charSpace="0"/>
        </w:sectPr>
      </w:pPr>
    </w:p>
    <w:p>
      <w:pPr>
        <w:spacing w:line="360" w:lineRule="auto"/>
        <w:rPr>
          <w:rFonts w:ascii="宋体" w:hAnsi="宋体"/>
          <w:b/>
          <w:sz w:val="24"/>
        </w:rPr>
      </w:pPr>
      <w:bookmarkStart w:id="12" w:name="_Toc180993027"/>
      <w:r>
        <w:rPr>
          <w:rFonts w:hint="eastAsia" w:ascii="宋体" w:hAnsi="宋体"/>
          <w:b/>
          <w:sz w:val="24"/>
        </w:rPr>
        <w:t>1. 总则</w:t>
      </w:r>
    </w:p>
    <w:p>
      <w:pPr>
        <w:spacing w:line="360" w:lineRule="auto"/>
        <w:rPr>
          <w:rFonts w:ascii="宋体" w:hAnsi="宋体"/>
          <w:b/>
          <w:sz w:val="24"/>
        </w:rPr>
      </w:pPr>
      <w:r>
        <w:rPr>
          <w:rFonts w:hint="eastAsia" w:ascii="宋体" w:hAnsi="宋体"/>
          <w:b/>
          <w:sz w:val="24"/>
        </w:rPr>
        <w:t>1.1 项目概况</w:t>
      </w:r>
    </w:p>
    <w:p>
      <w:pPr>
        <w:spacing w:line="360" w:lineRule="auto"/>
        <w:ind w:firstLine="480" w:firstLineChars="200"/>
        <w:rPr>
          <w:rFonts w:ascii="宋体" w:hAnsi="宋体"/>
          <w:sz w:val="24"/>
        </w:rPr>
      </w:pPr>
      <w:r>
        <w:rPr>
          <w:rFonts w:hint="eastAsia" w:ascii="宋体" w:hAnsi="宋体"/>
          <w:sz w:val="24"/>
        </w:rPr>
        <w:t>1.1.1 根据《中华人民共和国招标投标法》、《中华人民共和国招标投标法实施条例》等有关法律、法规和规章的规定，本招标项目己具备招标条件，现进行招标。</w:t>
      </w:r>
    </w:p>
    <w:p>
      <w:pPr>
        <w:spacing w:line="360" w:lineRule="auto"/>
        <w:ind w:firstLine="480" w:firstLineChars="200"/>
        <w:rPr>
          <w:rFonts w:ascii="宋体" w:hAnsi="宋体"/>
          <w:sz w:val="24"/>
        </w:rPr>
      </w:pPr>
      <w:r>
        <w:rPr>
          <w:rFonts w:hint="eastAsia" w:ascii="宋体" w:hAnsi="宋体"/>
          <w:sz w:val="24"/>
        </w:rPr>
        <w:t>1.1.2 本招标项目招标人：见投标人须知前附表。</w:t>
      </w:r>
    </w:p>
    <w:p>
      <w:pPr>
        <w:spacing w:line="360" w:lineRule="auto"/>
        <w:ind w:firstLine="480" w:firstLineChars="200"/>
        <w:rPr>
          <w:rFonts w:ascii="宋体" w:hAnsi="宋体"/>
          <w:sz w:val="24"/>
        </w:rPr>
      </w:pPr>
      <w:r>
        <w:rPr>
          <w:rFonts w:hint="eastAsia" w:ascii="宋体" w:hAnsi="宋体"/>
          <w:sz w:val="24"/>
        </w:rPr>
        <w:t>1.1.3 本项目招标代理机构：见投标人须知前附表。</w:t>
      </w:r>
    </w:p>
    <w:p>
      <w:pPr>
        <w:spacing w:line="360" w:lineRule="auto"/>
        <w:ind w:firstLine="480" w:firstLineChars="200"/>
        <w:rPr>
          <w:rFonts w:ascii="宋体" w:hAnsi="宋体"/>
          <w:sz w:val="24"/>
        </w:rPr>
      </w:pPr>
      <w:r>
        <w:rPr>
          <w:rFonts w:hint="eastAsia" w:ascii="宋体" w:hAnsi="宋体"/>
          <w:sz w:val="24"/>
        </w:rPr>
        <w:t>1.1.4 本招标项目名称：见投标人须知前附表。</w:t>
      </w:r>
    </w:p>
    <w:p>
      <w:pPr>
        <w:spacing w:line="360" w:lineRule="auto"/>
        <w:ind w:firstLine="480" w:firstLineChars="200"/>
        <w:rPr>
          <w:rFonts w:ascii="宋体" w:hAnsi="宋体"/>
          <w:sz w:val="24"/>
        </w:rPr>
      </w:pPr>
      <w:r>
        <w:rPr>
          <w:rFonts w:hint="eastAsia" w:ascii="宋体" w:hAnsi="宋体"/>
          <w:sz w:val="24"/>
        </w:rPr>
        <w:t>1.1.5 本项目实施地点：见投标人须知前附表。</w:t>
      </w:r>
    </w:p>
    <w:p>
      <w:pPr>
        <w:spacing w:line="360" w:lineRule="auto"/>
        <w:rPr>
          <w:rFonts w:ascii="宋体" w:hAnsi="宋体"/>
          <w:b/>
          <w:sz w:val="24"/>
        </w:rPr>
      </w:pPr>
      <w:r>
        <w:rPr>
          <w:rFonts w:hint="eastAsia" w:ascii="宋体" w:hAnsi="宋体"/>
          <w:b/>
          <w:sz w:val="24"/>
        </w:rPr>
        <w:t>1.2 资金来源和落实情况</w:t>
      </w:r>
    </w:p>
    <w:p>
      <w:pPr>
        <w:spacing w:line="360" w:lineRule="auto"/>
        <w:ind w:firstLine="480" w:firstLineChars="200"/>
        <w:rPr>
          <w:rFonts w:ascii="宋体" w:hAnsi="宋体"/>
          <w:sz w:val="24"/>
        </w:rPr>
      </w:pPr>
      <w:r>
        <w:rPr>
          <w:rFonts w:hint="eastAsia" w:ascii="宋体" w:hAnsi="宋体"/>
          <w:sz w:val="24"/>
        </w:rPr>
        <w:t>1.2.1 本招标项目的资金来源：见投标人须知前附表。</w:t>
      </w:r>
    </w:p>
    <w:p>
      <w:pPr>
        <w:spacing w:line="360" w:lineRule="auto"/>
        <w:ind w:firstLine="480" w:firstLineChars="200"/>
        <w:rPr>
          <w:rFonts w:ascii="宋体" w:hAnsi="宋体"/>
          <w:sz w:val="24"/>
        </w:rPr>
      </w:pPr>
      <w:r>
        <w:rPr>
          <w:rFonts w:hint="eastAsia" w:ascii="宋体" w:hAnsi="宋体"/>
          <w:sz w:val="24"/>
        </w:rPr>
        <w:t>1.2.2 本招标项目的资金落实情况：见投标人须知前附表。</w:t>
      </w:r>
    </w:p>
    <w:p>
      <w:pPr>
        <w:spacing w:line="360" w:lineRule="auto"/>
        <w:rPr>
          <w:rFonts w:ascii="宋体" w:hAnsi="宋体"/>
          <w:b/>
          <w:sz w:val="24"/>
        </w:rPr>
      </w:pPr>
      <w:r>
        <w:rPr>
          <w:rFonts w:hint="eastAsia" w:ascii="宋体" w:hAnsi="宋体"/>
          <w:b/>
          <w:sz w:val="24"/>
        </w:rPr>
        <w:t>1.3 招标范围、招标控制价</w:t>
      </w:r>
    </w:p>
    <w:p>
      <w:pPr>
        <w:spacing w:line="360" w:lineRule="auto"/>
        <w:ind w:firstLine="480" w:firstLineChars="200"/>
        <w:rPr>
          <w:rFonts w:ascii="宋体" w:hAnsi="宋体"/>
          <w:sz w:val="24"/>
        </w:rPr>
      </w:pPr>
      <w:r>
        <w:rPr>
          <w:rFonts w:hint="eastAsia" w:ascii="宋体" w:hAnsi="宋体"/>
          <w:sz w:val="24"/>
        </w:rPr>
        <w:t>1.3.1 本次招标范围：见投标人须知前附表。</w:t>
      </w:r>
    </w:p>
    <w:p>
      <w:pPr>
        <w:spacing w:line="360" w:lineRule="auto"/>
        <w:ind w:firstLine="480" w:firstLineChars="200"/>
        <w:rPr>
          <w:rFonts w:ascii="宋体" w:hAnsi="宋体"/>
          <w:sz w:val="24"/>
        </w:rPr>
      </w:pPr>
      <w:r>
        <w:rPr>
          <w:rFonts w:hint="eastAsia" w:ascii="宋体" w:hAnsi="宋体"/>
          <w:sz w:val="24"/>
        </w:rPr>
        <w:t>1.3.2 招标控制价：见投标人须知前附表</w:t>
      </w:r>
      <w:r>
        <w:rPr>
          <w:rFonts w:hint="eastAsia" w:ascii="宋体" w:hAnsi="宋体" w:cs="Arial"/>
          <w:sz w:val="24"/>
        </w:rPr>
        <w:t>。</w:t>
      </w:r>
    </w:p>
    <w:p>
      <w:pPr>
        <w:spacing w:line="360" w:lineRule="auto"/>
        <w:rPr>
          <w:rFonts w:ascii="宋体" w:hAnsi="宋体"/>
          <w:b/>
          <w:sz w:val="24"/>
        </w:rPr>
      </w:pPr>
      <w:r>
        <w:rPr>
          <w:rFonts w:hint="eastAsia" w:ascii="宋体" w:hAnsi="宋体"/>
          <w:b/>
          <w:sz w:val="24"/>
        </w:rPr>
        <w:t>1.4 投标人资格条件</w:t>
      </w:r>
    </w:p>
    <w:p>
      <w:pPr>
        <w:spacing w:line="360" w:lineRule="auto"/>
        <w:ind w:firstLine="480" w:firstLineChars="200"/>
        <w:rPr>
          <w:rFonts w:ascii="宋体" w:hAnsi="宋体"/>
          <w:sz w:val="24"/>
        </w:rPr>
      </w:pPr>
      <w:r>
        <w:rPr>
          <w:rFonts w:hint="eastAsia" w:ascii="宋体" w:hAnsi="宋体"/>
          <w:sz w:val="24"/>
        </w:rPr>
        <w:t>1.4.1 本项目资格审查方式：见投标人须知前附表的要求。</w:t>
      </w:r>
    </w:p>
    <w:p>
      <w:pPr>
        <w:spacing w:line="360" w:lineRule="auto"/>
        <w:ind w:firstLine="360" w:firstLineChars="150"/>
        <w:rPr>
          <w:rFonts w:ascii="宋体" w:hAnsi="宋体"/>
          <w:sz w:val="24"/>
        </w:rPr>
      </w:pPr>
      <w:r>
        <w:rPr>
          <w:rFonts w:hint="eastAsia" w:ascii="宋体" w:hAnsi="宋体"/>
          <w:sz w:val="24"/>
        </w:rPr>
        <w:t xml:space="preserve"> (1) 投标人资格条件：见投标人须知前附表。</w:t>
      </w:r>
    </w:p>
    <w:p>
      <w:pPr>
        <w:spacing w:line="360" w:lineRule="auto"/>
        <w:ind w:firstLine="480" w:firstLineChars="200"/>
        <w:rPr>
          <w:rFonts w:ascii="宋体" w:hAnsi="宋体"/>
          <w:sz w:val="24"/>
        </w:rPr>
      </w:pPr>
      <w:r>
        <w:rPr>
          <w:rFonts w:hint="eastAsia" w:ascii="宋体" w:hAnsi="宋体"/>
          <w:sz w:val="24"/>
        </w:rPr>
        <w:t>(2) 其他要求：见投标人须知前附表。</w:t>
      </w:r>
    </w:p>
    <w:p>
      <w:pPr>
        <w:spacing w:line="360" w:lineRule="auto"/>
        <w:ind w:firstLine="480" w:firstLineChars="200"/>
        <w:rPr>
          <w:rFonts w:ascii="宋体" w:hAnsi="宋体"/>
          <w:b/>
          <w:sz w:val="24"/>
        </w:rPr>
      </w:pPr>
      <w:r>
        <w:rPr>
          <w:rFonts w:hint="eastAsia" w:ascii="宋体" w:hAnsi="宋体"/>
          <w:sz w:val="24"/>
        </w:rPr>
        <w:t>1.4.2 投标人须知前附表规定接受联合体投标的，除应符合本章第1.4.1条和投标人须知前附表的要求外，还应遵守以下规定</w:t>
      </w:r>
      <w:r>
        <w:rPr>
          <w:rFonts w:hint="eastAsia" w:ascii="宋体" w:hAnsi="宋体"/>
          <w:b/>
          <w:sz w:val="24"/>
        </w:rPr>
        <w:t>（本次招标不采用）：</w:t>
      </w:r>
    </w:p>
    <w:p>
      <w:pPr>
        <w:spacing w:line="360" w:lineRule="auto"/>
        <w:ind w:firstLine="480" w:firstLineChars="200"/>
        <w:rPr>
          <w:rFonts w:ascii="宋体" w:hAnsi="宋体"/>
          <w:sz w:val="24"/>
        </w:rPr>
      </w:pPr>
      <w:r>
        <w:rPr>
          <w:rFonts w:hint="eastAsia" w:ascii="宋体" w:hAnsi="宋体"/>
          <w:sz w:val="24"/>
        </w:rPr>
        <w:t>(1) 联合体各方应按招标文件提供的格式签订联合体协议书，明确联合体牵头人和各方权利义务。</w:t>
      </w:r>
    </w:p>
    <w:p>
      <w:pPr>
        <w:spacing w:line="360" w:lineRule="auto"/>
        <w:ind w:firstLine="480" w:firstLineChars="200"/>
        <w:rPr>
          <w:rFonts w:ascii="宋体" w:hAnsi="宋体"/>
          <w:sz w:val="24"/>
        </w:rPr>
      </w:pPr>
      <w:r>
        <w:rPr>
          <w:rFonts w:hint="eastAsia" w:ascii="宋体" w:hAnsi="宋体"/>
          <w:sz w:val="24"/>
        </w:rPr>
        <w:t>(2) 由同一专业的单位组成的联合体，按照资质等级较低的单位确定资质等级。</w:t>
      </w:r>
    </w:p>
    <w:p>
      <w:pPr>
        <w:spacing w:line="360" w:lineRule="auto"/>
        <w:ind w:firstLine="480" w:firstLineChars="200"/>
        <w:rPr>
          <w:rFonts w:ascii="宋体" w:hAnsi="宋体"/>
          <w:sz w:val="24"/>
        </w:rPr>
      </w:pPr>
      <w:r>
        <w:rPr>
          <w:rFonts w:hint="eastAsia" w:ascii="宋体" w:hAnsi="宋体"/>
          <w:sz w:val="24"/>
        </w:rPr>
        <w:t>(3) 联合体各方不得再以自己名义单独或参加其他联合体在同一标段中投标。</w:t>
      </w:r>
    </w:p>
    <w:p>
      <w:pPr>
        <w:spacing w:line="360" w:lineRule="auto"/>
        <w:ind w:firstLine="480" w:firstLineChars="200"/>
        <w:rPr>
          <w:rFonts w:ascii="宋体" w:hAnsi="宋体"/>
          <w:sz w:val="24"/>
        </w:rPr>
      </w:pPr>
      <w:r>
        <w:rPr>
          <w:rFonts w:hint="eastAsia" w:ascii="宋体" w:hAnsi="宋体"/>
          <w:sz w:val="24"/>
        </w:rPr>
        <w:t>1.4.3 投标人不得存在下列情形之一：</w:t>
      </w:r>
    </w:p>
    <w:p>
      <w:pPr>
        <w:spacing w:line="360" w:lineRule="auto"/>
        <w:ind w:firstLine="480" w:firstLineChars="200"/>
        <w:rPr>
          <w:rFonts w:ascii="宋体" w:hAnsi="宋体"/>
          <w:sz w:val="24"/>
        </w:rPr>
      </w:pPr>
      <w:r>
        <w:rPr>
          <w:rFonts w:hint="eastAsia" w:ascii="宋体" w:hAnsi="宋体"/>
          <w:sz w:val="24"/>
        </w:rPr>
        <w:t>(l) 法定代表人为同一人或者存在控股关系、管理关系的两个及两个以上单位。</w:t>
      </w:r>
    </w:p>
    <w:p>
      <w:pPr>
        <w:spacing w:line="360" w:lineRule="auto"/>
        <w:ind w:firstLine="480" w:firstLineChars="200"/>
        <w:rPr>
          <w:rFonts w:ascii="宋体" w:hAnsi="宋体"/>
          <w:sz w:val="24"/>
        </w:rPr>
      </w:pPr>
      <w:r>
        <w:rPr>
          <w:rFonts w:hint="eastAsia" w:ascii="宋体" w:hAnsi="宋体"/>
          <w:sz w:val="24"/>
        </w:rPr>
        <w:t>(2) 为本标段提供招标代理服务的。</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被责令停业的。</w:t>
      </w:r>
    </w:p>
    <w:p>
      <w:pPr>
        <w:spacing w:line="360" w:lineRule="auto"/>
        <w:ind w:firstLine="480" w:firstLineChars="200"/>
        <w:rPr>
          <w:rFonts w:ascii="宋体" w:hAnsi="宋体"/>
          <w:sz w:val="24"/>
        </w:rPr>
      </w:pPr>
      <w:r>
        <w:rPr>
          <w:rFonts w:hint="eastAsia" w:ascii="宋体" w:hAnsi="宋体"/>
          <w:sz w:val="24"/>
        </w:rPr>
        <w:t>(4) 被暂停或取消投标资格的。</w:t>
      </w:r>
    </w:p>
    <w:p>
      <w:pPr>
        <w:spacing w:line="360" w:lineRule="auto"/>
        <w:ind w:firstLine="480" w:firstLineChars="200"/>
        <w:rPr>
          <w:rFonts w:ascii="宋体" w:hAnsi="宋体"/>
          <w:sz w:val="24"/>
        </w:rPr>
      </w:pPr>
      <w:r>
        <w:rPr>
          <w:rFonts w:hint="eastAsia" w:ascii="宋体" w:hAnsi="宋体"/>
          <w:sz w:val="24"/>
        </w:rPr>
        <w:t>(5) 财产被接管或冻结的。</w:t>
      </w:r>
    </w:p>
    <w:p>
      <w:pPr>
        <w:spacing w:line="360" w:lineRule="auto"/>
        <w:ind w:firstLine="480" w:firstLineChars="200"/>
        <w:rPr>
          <w:rFonts w:ascii="宋体" w:hAnsi="宋体"/>
          <w:sz w:val="24"/>
        </w:rPr>
      </w:pPr>
      <w:r>
        <w:rPr>
          <w:rFonts w:hint="eastAsia" w:ascii="宋体" w:hAnsi="宋体"/>
          <w:sz w:val="24"/>
        </w:rPr>
        <w:t>(6) 在最近三年内有弄虚作假骗取中标或严重违约的。</w:t>
      </w:r>
    </w:p>
    <w:p>
      <w:pPr>
        <w:spacing w:line="360" w:lineRule="auto"/>
        <w:rPr>
          <w:rFonts w:ascii="宋体" w:hAnsi="宋体"/>
          <w:b/>
          <w:sz w:val="24"/>
        </w:rPr>
      </w:pPr>
      <w:r>
        <w:rPr>
          <w:rFonts w:hint="eastAsia" w:ascii="宋体" w:hAnsi="宋体"/>
          <w:b/>
          <w:sz w:val="24"/>
        </w:rPr>
        <w:t>1.5 费用承担</w:t>
      </w:r>
    </w:p>
    <w:p>
      <w:pPr>
        <w:spacing w:line="360" w:lineRule="auto"/>
        <w:ind w:firstLine="480" w:firstLineChars="200"/>
        <w:rPr>
          <w:rFonts w:ascii="宋体" w:hAnsi="宋体"/>
          <w:sz w:val="24"/>
        </w:rPr>
      </w:pPr>
      <w:r>
        <w:rPr>
          <w:rFonts w:hint="eastAsia" w:ascii="宋体" w:hAnsi="宋体"/>
          <w:sz w:val="24"/>
        </w:rPr>
        <w:t>投标人准备和参加投标活动发生的费用自理。投标人必须自行承担所有与参加投标有关的费用。不论投标的结果如何，招标代理机构和招标人在任何情况下均无义务和责任承担这些费用。</w:t>
      </w:r>
    </w:p>
    <w:p>
      <w:pPr>
        <w:spacing w:line="360" w:lineRule="auto"/>
        <w:rPr>
          <w:rFonts w:ascii="宋体" w:hAnsi="宋体"/>
          <w:b/>
          <w:sz w:val="24"/>
        </w:rPr>
      </w:pPr>
      <w:r>
        <w:rPr>
          <w:rFonts w:hint="eastAsia" w:ascii="宋体" w:hAnsi="宋体"/>
          <w:b/>
          <w:sz w:val="24"/>
        </w:rPr>
        <w:t>1.6 保密</w:t>
      </w:r>
    </w:p>
    <w:p>
      <w:pPr>
        <w:spacing w:line="360" w:lineRule="auto"/>
        <w:ind w:firstLine="480" w:firstLineChars="200"/>
        <w:rPr>
          <w:rFonts w:ascii="宋体" w:hAnsi="宋体"/>
          <w:sz w:val="24"/>
        </w:rPr>
      </w:pPr>
      <w:r>
        <w:rPr>
          <w:rFonts w:hint="eastAsia" w:ascii="宋体" w:hAnsi="宋体"/>
          <w:sz w:val="24"/>
        </w:rPr>
        <w:t>参与招标投标活动的各方应对招标文件和投标文件中的商业和技术等秘密保密，违者应对由此造成的后果承担法律责任。</w:t>
      </w:r>
    </w:p>
    <w:p>
      <w:pPr>
        <w:spacing w:line="360" w:lineRule="auto"/>
        <w:rPr>
          <w:rFonts w:ascii="宋体" w:hAnsi="宋体"/>
          <w:b/>
          <w:sz w:val="24"/>
        </w:rPr>
      </w:pPr>
      <w:r>
        <w:rPr>
          <w:rFonts w:hint="eastAsia" w:ascii="宋体" w:hAnsi="宋体"/>
          <w:b/>
          <w:sz w:val="24"/>
        </w:rPr>
        <w:t>1.7 语言文字</w:t>
      </w:r>
    </w:p>
    <w:p>
      <w:pPr>
        <w:spacing w:line="360" w:lineRule="auto"/>
        <w:ind w:firstLine="480" w:firstLineChars="200"/>
        <w:rPr>
          <w:rFonts w:ascii="宋体" w:hAnsi="宋体"/>
          <w:sz w:val="24"/>
        </w:rPr>
      </w:pPr>
      <w:r>
        <w:rPr>
          <w:rFonts w:hint="eastAsia" w:ascii="宋体" w:hAnsi="宋体"/>
          <w:sz w:val="24"/>
        </w:rPr>
        <w:t>除专用术语外，与招标投标有关的语言均使用中文。必要时专用术语应附有中文注释。</w:t>
      </w:r>
    </w:p>
    <w:p>
      <w:pPr>
        <w:spacing w:line="360" w:lineRule="auto"/>
        <w:rPr>
          <w:rFonts w:ascii="宋体" w:hAnsi="宋体"/>
          <w:b/>
          <w:sz w:val="24"/>
        </w:rPr>
      </w:pPr>
      <w:r>
        <w:rPr>
          <w:rFonts w:hint="eastAsia" w:ascii="宋体" w:hAnsi="宋体"/>
          <w:b/>
          <w:sz w:val="24"/>
        </w:rPr>
        <w:t>1.8 计量单位</w:t>
      </w:r>
    </w:p>
    <w:p>
      <w:pPr>
        <w:spacing w:line="360" w:lineRule="auto"/>
        <w:ind w:firstLine="480" w:firstLineChars="200"/>
        <w:rPr>
          <w:rFonts w:ascii="宋体" w:hAnsi="宋体"/>
          <w:sz w:val="24"/>
        </w:rPr>
      </w:pPr>
      <w:r>
        <w:rPr>
          <w:rFonts w:hint="eastAsia" w:ascii="宋体" w:hAnsi="宋体"/>
          <w:sz w:val="24"/>
        </w:rPr>
        <w:t>所有计量均采用中华人民共和国法定计量单位。</w:t>
      </w:r>
    </w:p>
    <w:p>
      <w:pPr>
        <w:spacing w:line="360" w:lineRule="auto"/>
        <w:rPr>
          <w:rFonts w:ascii="宋体" w:hAnsi="宋体"/>
          <w:sz w:val="24"/>
        </w:rPr>
      </w:pPr>
      <w:r>
        <w:rPr>
          <w:rFonts w:hint="eastAsia" w:ascii="宋体" w:hAnsi="宋体"/>
          <w:b/>
          <w:sz w:val="24"/>
        </w:rPr>
        <w:t>1.9 投标预备会</w:t>
      </w:r>
      <w:r>
        <w:rPr>
          <w:rFonts w:hint="eastAsia" w:ascii="宋体" w:hAnsi="宋体"/>
          <w:sz w:val="24"/>
        </w:rPr>
        <w:t>（本次招标不采用）</w:t>
      </w:r>
    </w:p>
    <w:p>
      <w:pPr>
        <w:spacing w:line="360" w:lineRule="auto"/>
        <w:rPr>
          <w:rFonts w:ascii="宋体" w:hAnsi="宋体"/>
          <w:sz w:val="24"/>
        </w:rPr>
      </w:pPr>
      <w:r>
        <w:rPr>
          <w:rFonts w:hint="eastAsia" w:ascii="宋体" w:hAnsi="宋体"/>
          <w:b/>
          <w:sz w:val="24"/>
        </w:rPr>
        <w:t>1.10 分包</w:t>
      </w:r>
      <w:r>
        <w:rPr>
          <w:rFonts w:hint="eastAsia" w:ascii="宋体" w:hAnsi="宋体"/>
          <w:sz w:val="24"/>
        </w:rPr>
        <w:t>（本次招标不采用）</w:t>
      </w:r>
    </w:p>
    <w:p>
      <w:pPr>
        <w:spacing w:line="360" w:lineRule="auto"/>
        <w:rPr>
          <w:rFonts w:ascii="宋体" w:hAnsi="宋体"/>
          <w:b/>
          <w:sz w:val="24"/>
        </w:rPr>
      </w:pPr>
      <w:r>
        <w:rPr>
          <w:rFonts w:hint="eastAsia" w:ascii="宋体" w:hAnsi="宋体"/>
          <w:b/>
          <w:sz w:val="24"/>
        </w:rPr>
        <w:t>1.11踏勘现场</w:t>
      </w:r>
    </w:p>
    <w:p>
      <w:pPr>
        <w:adjustRightInd w:val="0"/>
        <w:snapToGrid w:val="0"/>
        <w:spacing w:line="360" w:lineRule="auto"/>
        <w:ind w:firstLine="533"/>
        <w:rPr>
          <w:rFonts w:ascii="宋体" w:hAnsi="宋体"/>
          <w:sz w:val="24"/>
        </w:rPr>
      </w:pPr>
      <w:r>
        <w:rPr>
          <w:rFonts w:hint="eastAsia" w:ascii="宋体" w:hAnsi="宋体"/>
          <w:sz w:val="24"/>
        </w:rPr>
        <w:t>1.11.1投标人自行对项目现场及周围环境进行踏勘，以便获取有关编制投标文件和签署合同所涉及现场的资料。踏勘现场所发生的费用由投标人自行承担，招标人不承担任何费用。</w:t>
      </w:r>
    </w:p>
    <w:p>
      <w:pPr>
        <w:adjustRightInd w:val="0"/>
        <w:snapToGrid w:val="0"/>
        <w:spacing w:line="360" w:lineRule="auto"/>
        <w:ind w:firstLine="533"/>
        <w:rPr>
          <w:rFonts w:ascii="宋体" w:hAnsi="宋体"/>
          <w:sz w:val="24"/>
        </w:rPr>
      </w:pPr>
      <w:r>
        <w:rPr>
          <w:rFonts w:hint="eastAsia" w:ascii="宋体" w:hAnsi="宋体"/>
          <w:sz w:val="24"/>
        </w:rPr>
        <w:t>1.11.2 招标人向投标人提供的有关现场的数据和资料，是招标人现有的能被投标人利用的资料，招标人对投标人做出的任何推论、理解和结论均不负责任。</w:t>
      </w:r>
    </w:p>
    <w:p>
      <w:pPr>
        <w:adjustRightInd w:val="0"/>
        <w:snapToGrid w:val="0"/>
        <w:spacing w:line="360" w:lineRule="auto"/>
        <w:ind w:firstLine="533"/>
        <w:rPr>
          <w:rFonts w:ascii="宋体" w:hAnsi="宋体"/>
          <w:sz w:val="24"/>
        </w:rPr>
      </w:pPr>
      <w:r>
        <w:rPr>
          <w:rFonts w:hint="eastAsia" w:ascii="宋体" w:hAnsi="宋体"/>
          <w:sz w:val="24"/>
        </w:rPr>
        <w:t>1.11.3 经招标人允许，投标人可为踏勘目的进入招标人的项目现场，但投标人不得因此使招标人承担有关的责任和蒙受损失。投标人应承担踏勘现场以及踏勘现场不周全的责任和风险。</w:t>
      </w:r>
    </w:p>
    <w:p>
      <w:pPr>
        <w:adjustRightInd w:val="0"/>
        <w:snapToGrid w:val="0"/>
        <w:spacing w:line="360" w:lineRule="auto"/>
        <w:ind w:firstLine="533"/>
        <w:rPr>
          <w:rFonts w:ascii="宋体" w:hAnsi="宋体"/>
          <w:sz w:val="24"/>
        </w:rPr>
      </w:pPr>
      <w:r>
        <w:rPr>
          <w:rFonts w:hint="eastAsia" w:ascii="宋体" w:hAnsi="宋体"/>
          <w:sz w:val="24"/>
        </w:rPr>
        <w:t>1.11.4投标人应充分了解现场位置、管线、道路、储存空间、装卸限制及任何其它足以影响投标报价的情况，在投标报价中考虑。任何因忽视或误解现场情况而导致的索赔或工期延长申请将不获批准。</w:t>
      </w:r>
    </w:p>
    <w:p>
      <w:pPr>
        <w:spacing w:line="360" w:lineRule="auto"/>
        <w:rPr>
          <w:rFonts w:ascii="宋体" w:hAnsi="宋体"/>
          <w:b/>
          <w:sz w:val="24"/>
        </w:rPr>
      </w:pPr>
      <w:bookmarkStart w:id="13" w:name="_Toc346013353"/>
      <w:bookmarkStart w:id="14" w:name="_Toc184635072"/>
      <w:bookmarkStart w:id="15" w:name="_Toc346012810"/>
      <w:bookmarkStart w:id="16" w:name="_Toc346012953"/>
      <w:bookmarkStart w:id="17" w:name="_Toc248986340"/>
      <w:r>
        <w:rPr>
          <w:rFonts w:hint="eastAsia" w:ascii="宋体" w:hAnsi="宋体"/>
          <w:b/>
          <w:sz w:val="24"/>
        </w:rPr>
        <w:t>2．招标文件</w:t>
      </w:r>
      <w:bookmarkEnd w:id="13"/>
      <w:bookmarkEnd w:id="14"/>
      <w:bookmarkEnd w:id="15"/>
      <w:bookmarkEnd w:id="16"/>
      <w:bookmarkEnd w:id="17"/>
      <w:r>
        <w:rPr>
          <w:rFonts w:hint="eastAsia" w:ascii="宋体" w:hAnsi="宋体"/>
          <w:b/>
          <w:sz w:val="24"/>
        </w:rPr>
        <w:t>说明</w:t>
      </w:r>
    </w:p>
    <w:p>
      <w:pPr>
        <w:spacing w:line="360" w:lineRule="auto"/>
        <w:rPr>
          <w:rFonts w:ascii="宋体" w:hAnsi="宋体"/>
          <w:b/>
          <w:sz w:val="24"/>
        </w:rPr>
      </w:pPr>
      <w:r>
        <w:rPr>
          <w:rFonts w:hint="eastAsia" w:ascii="宋体" w:hAnsi="宋体"/>
          <w:b/>
          <w:sz w:val="24"/>
        </w:rPr>
        <w:t>2.1 招标文件的组成</w:t>
      </w:r>
    </w:p>
    <w:p>
      <w:pPr>
        <w:spacing w:line="500" w:lineRule="exact"/>
        <w:rPr>
          <w:rFonts w:ascii="宋体" w:hAnsi="宋体"/>
          <w:sz w:val="24"/>
        </w:rPr>
      </w:pPr>
      <w:r>
        <w:rPr>
          <w:rFonts w:hint="eastAsia" w:ascii="宋体" w:hAnsi="宋体"/>
          <w:sz w:val="24"/>
        </w:rPr>
        <w:t>招标文件包括：</w:t>
      </w:r>
    </w:p>
    <w:p>
      <w:pPr>
        <w:spacing w:line="500" w:lineRule="exact"/>
        <w:ind w:firstLine="480" w:firstLineChars="200"/>
        <w:rPr>
          <w:rFonts w:ascii="宋体" w:hAnsi="宋体"/>
          <w:sz w:val="24"/>
        </w:rPr>
      </w:pPr>
      <w:r>
        <w:rPr>
          <w:rFonts w:hint="eastAsia" w:ascii="宋体" w:hAnsi="宋体"/>
          <w:sz w:val="24"/>
        </w:rPr>
        <w:t xml:space="preserve">(1) 招标公告 </w:t>
      </w:r>
    </w:p>
    <w:p>
      <w:pPr>
        <w:spacing w:line="500" w:lineRule="exact"/>
        <w:ind w:firstLine="480" w:firstLineChars="200"/>
        <w:rPr>
          <w:rFonts w:ascii="宋体" w:hAnsi="宋体"/>
          <w:sz w:val="24"/>
        </w:rPr>
      </w:pPr>
      <w:r>
        <w:rPr>
          <w:rFonts w:hint="eastAsia" w:ascii="宋体" w:hAnsi="宋体"/>
          <w:sz w:val="24"/>
        </w:rPr>
        <w:t>(2) 投标人须知；</w:t>
      </w:r>
    </w:p>
    <w:p>
      <w:pPr>
        <w:spacing w:line="500" w:lineRule="exact"/>
        <w:ind w:firstLine="480" w:firstLineChars="200"/>
        <w:rPr>
          <w:rFonts w:ascii="宋体" w:hAnsi="宋体"/>
          <w:sz w:val="24"/>
        </w:rPr>
      </w:pPr>
      <w:r>
        <w:rPr>
          <w:rFonts w:hint="eastAsia" w:ascii="宋体" w:hAnsi="宋体"/>
          <w:sz w:val="24"/>
        </w:rPr>
        <w:t>(3) 合同条款；</w:t>
      </w:r>
    </w:p>
    <w:p>
      <w:pPr>
        <w:spacing w:line="500" w:lineRule="exact"/>
        <w:ind w:firstLine="480" w:firstLineChars="200"/>
        <w:rPr>
          <w:rFonts w:ascii="宋体" w:hAnsi="宋体"/>
          <w:sz w:val="24"/>
        </w:rPr>
      </w:pPr>
      <w:r>
        <w:rPr>
          <w:rFonts w:hint="eastAsia" w:ascii="宋体" w:hAnsi="宋体"/>
          <w:sz w:val="24"/>
        </w:rPr>
        <w:t>(4) 技术规格标准及相关要求；</w:t>
      </w:r>
    </w:p>
    <w:p>
      <w:pPr>
        <w:spacing w:line="500" w:lineRule="exact"/>
        <w:ind w:firstLine="480" w:firstLineChars="200"/>
        <w:rPr>
          <w:rFonts w:ascii="宋体" w:hAnsi="宋体"/>
          <w:sz w:val="24"/>
        </w:rPr>
      </w:pPr>
      <w:r>
        <w:rPr>
          <w:rFonts w:hint="eastAsia" w:ascii="宋体" w:hAnsi="宋体"/>
          <w:sz w:val="24"/>
        </w:rPr>
        <w:t>(5) 评标办法；</w:t>
      </w:r>
    </w:p>
    <w:p>
      <w:pPr>
        <w:spacing w:line="500" w:lineRule="exact"/>
        <w:ind w:firstLine="480" w:firstLineChars="200"/>
        <w:rPr>
          <w:rFonts w:ascii="宋体" w:hAnsi="宋体"/>
          <w:sz w:val="24"/>
        </w:rPr>
      </w:pPr>
      <w:r>
        <w:rPr>
          <w:rFonts w:hint="eastAsia" w:ascii="宋体" w:hAnsi="宋体"/>
          <w:sz w:val="24"/>
        </w:rPr>
        <w:t>(6) 投标文件格式。</w:t>
      </w:r>
    </w:p>
    <w:p>
      <w:pPr>
        <w:spacing w:line="500" w:lineRule="exact"/>
        <w:ind w:firstLine="480" w:firstLineChars="200"/>
        <w:rPr>
          <w:rFonts w:ascii="宋体" w:hAnsi="宋体"/>
          <w:sz w:val="24"/>
        </w:rPr>
      </w:pPr>
      <w:r>
        <w:rPr>
          <w:rFonts w:hint="eastAsia" w:ascii="宋体" w:hAnsi="宋体"/>
          <w:sz w:val="24"/>
        </w:rPr>
        <w:t>根据本章第2.2 条和第2.3条对招标文件所作的澄清、修改，构成招标文件的组成部分。</w:t>
      </w:r>
    </w:p>
    <w:p>
      <w:pPr>
        <w:spacing w:line="500" w:lineRule="exact"/>
        <w:rPr>
          <w:rFonts w:ascii="宋体" w:hAnsi="宋体"/>
          <w:b/>
          <w:sz w:val="24"/>
        </w:rPr>
      </w:pPr>
      <w:r>
        <w:rPr>
          <w:rFonts w:hint="eastAsia" w:ascii="宋体" w:hAnsi="宋体"/>
          <w:b/>
          <w:sz w:val="24"/>
        </w:rPr>
        <w:t>2.2 招标文件的澄清</w:t>
      </w:r>
    </w:p>
    <w:p>
      <w:pPr>
        <w:spacing w:line="500" w:lineRule="exact"/>
        <w:ind w:firstLine="480" w:firstLineChars="200"/>
        <w:rPr>
          <w:rFonts w:ascii="宋体" w:hAnsi="宋体"/>
          <w:sz w:val="24"/>
        </w:rPr>
      </w:pPr>
      <w:r>
        <w:rPr>
          <w:rFonts w:hint="eastAsia" w:ascii="宋体" w:hAnsi="宋体"/>
          <w:sz w:val="24"/>
        </w:rPr>
        <w:t>2.2.1  投标人应仔细阅读和检查招标文件的全部内容。如发现缺页或附件不全，应及时向招标人提出，以便补齐。如有疑问，应在投标人须知前附表规定的时间前以（书面\邮件）形式，要求招标人对招标文件予以澄清。</w:t>
      </w:r>
    </w:p>
    <w:p>
      <w:pPr>
        <w:spacing w:line="500" w:lineRule="exact"/>
        <w:ind w:firstLine="480" w:firstLineChars="200"/>
        <w:rPr>
          <w:rFonts w:ascii="宋体" w:hAnsi="宋体"/>
          <w:sz w:val="24"/>
        </w:rPr>
      </w:pPr>
      <w:r>
        <w:rPr>
          <w:rFonts w:hint="eastAsia" w:ascii="宋体" w:hAnsi="宋体"/>
          <w:sz w:val="24"/>
        </w:rPr>
        <w:t>2.2.2  招标文件的澄清将在投标人须知前附表第32条规定的投标截止时间15天前，以投标人须知前附表规定的方式发布给所有购买招标文件的投标人，但不指明澄清问题的来源。如果澄清发出的时间距投标截止时间不足15天，相应推迟投标截止时间。</w:t>
      </w:r>
    </w:p>
    <w:p>
      <w:pPr>
        <w:spacing w:line="500" w:lineRule="exact"/>
        <w:ind w:firstLine="480" w:firstLineChars="200"/>
        <w:rPr>
          <w:rFonts w:ascii="宋体" w:hAnsi="宋体"/>
          <w:sz w:val="24"/>
        </w:rPr>
      </w:pPr>
      <w:r>
        <w:rPr>
          <w:rFonts w:hint="eastAsia" w:ascii="宋体" w:hAnsi="宋体"/>
          <w:sz w:val="24"/>
        </w:rPr>
        <w:t>2.2.3  投标人在收到书面澄清后，应在24小时内以书面形式通知招标人，确认已收到该澄清。以网上形式发布澄清文件的，所有购买招标文件的投标人有义务在网上自行查询，无需以书面形式回复。招标人/代理机构不承担供应商未及时关注相关信息引发的相关责任。</w:t>
      </w:r>
    </w:p>
    <w:p>
      <w:pPr>
        <w:spacing w:line="500" w:lineRule="exact"/>
        <w:ind w:firstLine="480" w:firstLineChars="200"/>
        <w:rPr>
          <w:rFonts w:ascii="宋体" w:hAnsi="宋体"/>
          <w:sz w:val="24"/>
        </w:rPr>
      </w:pPr>
      <w:r>
        <w:rPr>
          <w:rFonts w:hint="eastAsia" w:ascii="宋体" w:hAnsi="宋体"/>
          <w:sz w:val="24"/>
        </w:rPr>
        <w:t>2.2.4 除非招标人认为确有必要答复，否则，招标人有权拒绝回复投标人在本章第2.2.1项规定的时间后的任何澄清要求。</w:t>
      </w:r>
    </w:p>
    <w:p>
      <w:pPr>
        <w:spacing w:line="500" w:lineRule="exact"/>
        <w:rPr>
          <w:rFonts w:ascii="宋体" w:hAnsi="宋体"/>
          <w:b/>
          <w:sz w:val="24"/>
        </w:rPr>
      </w:pPr>
      <w:r>
        <w:rPr>
          <w:rFonts w:hint="eastAsia" w:ascii="宋体" w:hAnsi="宋体"/>
          <w:b/>
          <w:sz w:val="24"/>
        </w:rPr>
        <w:t>2.3 招标文件的修改</w:t>
      </w:r>
    </w:p>
    <w:p>
      <w:pPr>
        <w:spacing w:line="500" w:lineRule="exact"/>
        <w:ind w:firstLine="480" w:firstLineChars="200"/>
        <w:rPr>
          <w:rFonts w:ascii="宋体" w:hAnsi="宋体"/>
          <w:b/>
          <w:sz w:val="24"/>
        </w:rPr>
      </w:pPr>
      <w:r>
        <w:rPr>
          <w:rFonts w:hint="eastAsia" w:ascii="宋体" w:hAnsi="宋体" w:cs="宋体"/>
          <w:sz w:val="24"/>
        </w:rPr>
        <w:t>招标文件发出后，在提交投标文件截止时间前15日内，招标人可对招标文件进行必要的修改</w:t>
      </w:r>
    </w:p>
    <w:p>
      <w:pPr>
        <w:spacing w:line="500" w:lineRule="exact"/>
        <w:ind w:firstLine="480" w:firstLineChars="200"/>
        <w:rPr>
          <w:rFonts w:ascii="宋体" w:hAnsi="宋体"/>
          <w:sz w:val="24"/>
        </w:rPr>
      </w:pPr>
      <w:r>
        <w:rPr>
          <w:rFonts w:hint="eastAsia" w:ascii="宋体" w:hAnsi="宋体"/>
          <w:sz w:val="24"/>
        </w:rPr>
        <w:t>2.3.1  在投标截止时间15天前，招标人以投标人须知前附表第22条规定的方式发布修改招标文件的内容。如果修改招标文件的时间距投标截止时间不足15天，应相应推迟投标截止时间。</w:t>
      </w:r>
    </w:p>
    <w:p>
      <w:pPr>
        <w:spacing w:line="500" w:lineRule="exact"/>
        <w:ind w:firstLine="480" w:firstLineChars="200"/>
        <w:rPr>
          <w:rFonts w:ascii="宋体" w:hAnsi="宋体"/>
          <w:sz w:val="24"/>
        </w:rPr>
      </w:pPr>
      <w:r>
        <w:rPr>
          <w:rFonts w:hint="eastAsia" w:ascii="宋体" w:hAnsi="宋体"/>
          <w:sz w:val="24"/>
        </w:rPr>
        <w:t>2.3.2  投标人收到修改内容后，应在24小时内以书面形式通知招标人，确认己收到该修改。以网上形式发布修改内容的，所有购买招标文件的投标人有义务在网上自行查询，无需以书面形式回复。招标人/代理机构不承担供应商未及时关注相关信息引发的相关责任。</w:t>
      </w:r>
    </w:p>
    <w:p>
      <w:pPr>
        <w:spacing w:line="500" w:lineRule="exact"/>
        <w:ind w:firstLine="480" w:firstLineChars="200"/>
        <w:rPr>
          <w:rFonts w:ascii="宋体" w:hAnsi="宋体"/>
          <w:sz w:val="24"/>
        </w:rPr>
      </w:pPr>
      <w:r>
        <w:rPr>
          <w:rFonts w:hint="eastAsia" w:ascii="宋体" w:hAnsi="宋体"/>
          <w:sz w:val="24"/>
        </w:rPr>
        <w:t>2.3.3  当招标文件、招标文件的澄清、修改、补充等在同一内容的表述上不一致时，以最后发出的为准。</w:t>
      </w:r>
    </w:p>
    <w:p>
      <w:pPr>
        <w:adjustRightInd w:val="0"/>
        <w:snapToGrid w:val="0"/>
        <w:spacing w:line="500" w:lineRule="exact"/>
        <w:ind w:firstLine="471"/>
        <w:rPr>
          <w:rFonts w:ascii="宋体" w:hAnsi="宋体"/>
          <w:sz w:val="24"/>
        </w:rPr>
      </w:pPr>
      <w:r>
        <w:rPr>
          <w:rFonts w:hint="eastAsia" w:ascii="宋体" w:hAnsi="宋体"/>
          <w:sz w:val="24"/>
        </w:rPr>
        <w:t xml:space="preserve">2.3.4  </w:t>
      </w:r>
      <w:r>
        <w:rPr>
          <w:rFonts w:hint="eastAsia" w:ascii="宋体" w:hAnsi="宋体" w:cs="宋体"/>
          <w:sz w:val="24"/>
        </w:rPr>
        <w:t>为使投标人在编制投标文件时有充分的时间对招标文件的澄清、修改、补充等内容进行研究，招标人将酌情延长提交投标文件的截止时间，具体时间将在招标文件的澄清、修改、补充通知中予以明确并通知给所有投标人。</w:t>
      </w:r>
    </w:p>
    <w:p>
      <w:pPr>
        <w:spacing w:line="500" w:lineRule="exact"/>
        <w:rPr>
          <w:rFonts w:ascii="宋体" w:hAnsi="宋体"/>
          <w:b/>
          <w:sz w:val="24"/>
        </w:rPr>
      </w:pPr>
      <w:bookmarkStart w:id="18" w:name="_Toc346013354"/>
      <w:bookmarkStart w:id="19" w:name="_Toc184635073"/>
      <w:bookmarkStart w:id="20" w:name="_Toc248986341"/>
      <w:bookmarkStart w:id="21" w:name="_Toc346012811"/>
      <w:bookmarkStart w:id="22" w:name="_Toc346012954"/>
      <w:r>
        <w:rPr>
          <w:rFonts w:hint="eastAsia" w:ascii="宋体" w:hAnsi="宋体"/>
          <w:b/>
          <w:sz w:val="24"/>
        </w:rPr>
        <w:t>3．投标文件</w:t>
      </w:r>
      <w:bookmarkEnd w:id="18"/>
      <w:bookmarkEnd w:id="19"/>
      <w:bookmarkEnd w:id="20"/>
      <w:bookmarkEnd w:id="21"/>
      <w:bookmarkEnd w:id="22"/>
    </w:p>
    <w:p>
      <w:pPr>
        <w:adjustRightInd w:val="0"/>
        <w:snapToGrid w:val="0"/>
        <w:spacing w:line="500" w:lineRule="exact"/>
        <w:ind w:firstLine="442"/>
        <w:rPr>
          <w:rFonts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(语言文字)。投标人随投标文件提供的证明文件和印刷品可以是其它语言，但必须附中文译文，以中文译文为准。</w:t>
      </w:r>
    </w:p>
    <w:p>
      <w:pPr>
        <w:spacing w:line="500" w:lineRule="exact"/>
        <w:rPr>
          <w:rFonts w:ascii="宋体" w:hAnsi="宋体"/>
          <w:b/>
          <w:sz w:val="24"/>
        </w:rPr>
      </w:pPr>
      <w:r>
        <w:rPr>
          <w:rFonts w:hint="eastAsia" w:ascii="宋体" w:hAnsi="宋体"/>
          <w:b/>
          <w:sz w:val="24"/>
        </w:rPr>
        <w:t>3.1 投标文件的组成</w:t>
      </w:r>
    </w:p>
    <w:p>
      <w:pPr>
        <w:spacing w:line="500" w:lineRule="exact"/>
        <w:ind w:firstLine="480" w:firstLineChars="200"/>
        <w:rPr>
          <w:rFonts w:ascii="宋体" w:hAnsi="宋体"/>
          <w:sz w:val="24"/>
        </w:rPr>
      </w:pPr>
      <w:r>
        <w:rPr>
          <w:rFonts w:hint="eastAsia" w:ascii="宋体" w:hAnsi="宋体" w:cs="Arial"/>
          <w:sz w:val="24"/>
        </w:rPr>
        <w:t>3</w:t>
      </w:r>
      <w:r>
        <w:rPr>
          <w:rFonts w:ascii="宋体" w:hAnsi="宋体" w:cs="Arial"/>
          <w:sz w:val="24"/>
        </w:rPr>
        <w:t>.1</w:t>
      </w:r>
      <w:r>
        <w:rPr>
          <w:rFonts w:hint="eastAsia" w:ascii="宋体" w:hAnsi="宋体" w:cs="Arial"/>
          <w:sz w:val="24"/>
        </w:rPr>
        <w:t xml:space="preserve">.1 </w:t>
      </w:r>
      <w:r>
        <w:rPr>
          <w:rFonts w:ascii="宋体" w:hAnsi="宋体" w:cs="Arial"/>
          <w:sz w:val="24"/>
        </w:rPr>
        <w:t>投标文件由商务标投标文件、技术标投标文件两部分组成。</w:t>
      </w:r>
    </w:p>
    <w:p>
      <w:pPr>
        <w:adjustRightInd w:val="0"/>
        <w:snapToGrid w:val="0"/>
        <w:spacing w:line="500" w:lineRule="exact"/>
        <w:ind w:firstLine="442"/>
        <w:rPr>
          <w:rFonts w:ascii="宋体" w:hAnsi="宋体" w:cs="Arial"/>
          <w:sz w:val="24"/>
        </w:rPr>
      </w:pPr>
      <w:r>
        <w:rPr>
          <w:rFonts w:hint="eastAsia" w:ascii="宋体" w:hAnsi="宋体" w:cs="Arial"/>
          <w:sz w:val="24"/>
        </w:rPr>
        <w:t>3</w:t>
      </w:r>
      <w:r>
        <w:rPr>
          <w:rFonts w:ascii="宋体" w:hAnsi="宋体" w:cs="Arial"/>
          <w:sz w:val="24"/>
        </w:rPr>
        <w:t>.</w:t>
      </w:r>
      <w:r>
        <w:rPr>
          <w:rFonts w:hint="eastAsia" w:ascii="宋体" w:hAnsi="宋体" w:cs="Arial"/>
          <w:sz w:val="24"/>
        </w:rPr>
        <w:t xml:space="preserve">1.2 </w:t>
      </w:r>
      <w:r>
        <w:rPr>
          <w:rFonts w:ascii="宋体" w:hAnsi="宋体" w:cs="Arial"/>
          <w:sz w:val="24"/>
        </w:rPr>
        <w:t>为方便评标，所有投标人必须提交不可更改的电子文件(</w:t>
      </w:r>
      <w:r>
        <w:rPr>
          <w:rFonts w:hint="eastAsia" w:ascii="宋体" w:hAnsi="宋体" w:cs="Arial"/>
          <w:sz w:val="24"/>
        </w:rPr>
        <w:t>u</w:t>
      </w:r>
      <w:r>
        <w:rPr>
          <w:rFonts w:ascii="宋体" w:hAnsi="宋体" w:cs="Arial"/>
          <w:sz w:val="24"/>
        </w:rPr>
        <w:t>盘)</w:t>
      </w:r>
      <w:r>
        <w:rPr>
          <w:rFonts w:hint="eastAsia" w:ascii="宋体" w:hAnsi="宋体" w:cs="Arial"/>
          <w:sz w:val="24"/>
        </w:rPr>
        <w:t>，</w:t>
      </w:r>
      <w:r>
        <w:rPr>
          <w:rFonts w:ascii="宋体" w:hAnsi="宋体" w:cs="Arial"/>
          <w:sz w:val="24"/>
        </w:rPr>
        <w:t>该电子文件应能打开并运行。</w:t>
      </w:r>
      <w:r>
        <w:rPr>
          <w:rFonts w:hint="eastAsia" w:ascii="宋体" w:hAnsi="宋体" w:cs="宋体"/>
          <w:sz w:val="24"/>
        </w:rPr>
        <w:t>与商务标正本一并密封。</w:t>
      </w:r>
      <w:r>
        <w:rPr>
          <w:rFonts w:hint="eastAsia" w:ascii="宋体" w:hAnsi="宋体" w:cs="宋体"/>
          <w:b/>
          <w:sz w:val="24"/>
        </w:rPr>
        <w:t>投标人提供的电子档文件U盘若与投标文件不相同或打不开，将视为投标人不响应招标文件</w:t>
      </w:r>
      <w:r>
        <w:rPr>
          <w:rFonts w:hint="eastAsia" w:ascii="宋体" w:hAnsi="宋体" w:cs="宋体"/>
          <w:sz w:val="24"/>
        </w:rPr>
        <w:t>。</w:t>
      </w:r>
    </w:p>
    <w:p>
      <w:pPr>
        <w:adjustRightInd w:val="0"/>
        <w:snapToGrid w:val="0"/>
        <w:spacing w:before="62" w:beforeLines="20" w:after="62" w:afterLines="20" w:line="500" w:lineRule="exact"/>
        <w:ind w:firstLine="480" w:firstLineChars="200"/>
        <w:rPr>
          <w:rFonts w:ascii="宋体" w:hAnsi="宋体" w:cs="Arial"/>
          <w:sz w:val="24"/>
        </w:rPr>
      </w:pPr>
      <w:r>
        <w:rPr>
          <w:rFonts w:hint="eastAsia" w:ascii="宋体" w:hAnsi="宋体" w:cs="Arial"/>
          <w:sz w:val="24"/>
        </w:rPr>
        <w:t>3</w:t>
      </w:r>
      <w:r>
        <w:rPr>
          <w:rFonts w:ascii="宋体" w:hAnsi="宋体" w:cs="Arial"/>
          <w:sz w:val="24"/>
        </w:rPr>
        <w:t>.</w:t>
      </w:r>
      <w:r>
        <w:rPr>
          <w:rFonts w:hint="eastAsia" w:ascii="宋体" w:hAnsi="宋体" w:cs="Arial"/>
          <w:sz w:val="24"/>
        </w:rPr>
        <w:t>1.3</w:t>
      </w:r>
      <w:r>
        <w:rPr>
          <w:rFonts w:ascii="宋体" w:hAnsi="宋体" w:cs="Arial"/>
          <w:sz w:val="24"/>
        </w:rPr>
        <w:t xml:space="preserve"> 商务标投标文件主要包括下列内容：</w:t>
      </w:r>
    </w:p>
    <w:p>
      <w:pPr>
        <w:tabs>
          <w:tab w:val="left" w:pos="0"/>
        </w:tabs>
        <w:snapToGrid w:val="0"/>
        <w:spacing w:before="62" w:beforeLines="20" w:after="62" w:afterLines="20" w:line="500" w:lineRule="exact"/>
        <w:ind w:firstLine="360" w:firstLineChars="150"/>
        <w:rPr>
          <w:rFonts w:ascii="宋体" w:hAnsi="宋体"/>
          <w:sz w:val="24"/>
        </w:rPr>
      </w:pPr>
      <w:r>
        <w:rPr>
          <w:rFonts w:hint="eastAsia" w:ascii="宋体" w:hAnsi="宋体"/>
          <w:sz w:val="24"/>
        </w:rPr>
        <w:t>（1）</w:t>
      </w:r>
      <w:r>
        <w:rPr>
          <w:rFonts w:ascii="宋体" w:hAnsi="宋体"/>
          <w:sz w:val="24"/>
        </w:rPr>
        <w:t>投标函</w:t>
      </w:r>
      <w:r>
        <w:rPr>
          <w:rFonts w:hint="eastAsia" w:ascii="宋体" w:hAnsi="宋体"/>
          <w:sz w:val="24"/>
        </w:rPr>
        <w:t>；</w:t>
      </w:r>
    </w:p>
    <w:p>
      <w:pPr>
        <w:tabs>
          <w:tab w:val="left" w:pos="0"/>
        </w:tabs>
        <w:snapToGrid w:val="0"/>
        <w:spacing w:before="62" w:beforeLines="20" w:after="62" w:afterLines="20" w:line="500" w:lineRule="exact"/>
        <w:ind w:firstLine="360" w:firstLineChars="150"/>
        <w:rPr>
          <w:rFonts w:ascii="宋体" w:hAnsi="宋体"/>
          <w:sz w:val="24"/>
        </w:rPr>
      </w:pPr>
      <w:r>
        <w:rPr>
          <w:rFonts w:hint="eastAsia" w:ascii="宋体" w:hAnsi="宋体"/>
          <w:sz w:val="24"/>
        </w:rPr>
        <w:t>（2）开标一览表；</w:t>
      </w:r>
    </w:p>
    <w:p>
      <w:pPr>
        <w:tabs>
          <w:tab w:val="left" w:pos="0"/>
        </w:tabs>
        <w:snapToGrid w:val="0"/>
        <w:spacing w:before="62" w:beforeLines="20" w:after="62" w:afterLines="20" w:line="500" w:lineRule="exact"/>
        <w:ind w:firstLine="360" w:firstLineChars="150"/>
        <w:rPr>
          <w:rFonts w:ascii="宋体" w:hAnsi="宋体"/>
          <w:sz w:val="24"/>
        </w:rPr>
      </w:pPr>
      <w:r>
        <w:rPr>
          <w:rFonts w:hint="eastAsia" w:ascii="宋体" w:hAnsi="宋体"/>
          <w:sz w:val="24"/>
        </w:rPr>
        <w:t>（3）分项报价表</w:t>
      </w:r>
      <w:r>
        <w:rPr>
          <w:rFonts w:hint="eastAsia" w:ascii="宋体" w:hAnsi="宋体" w:cs="Arial"/>
          <w:sz w:val="24"/>
        </w:rPr>
        <w:t>；</w:t>
      </w:r>
    </w:p>
    <w:p>
      <w:pPr>
        <w:tabs>
          <w:tab w:val="left" w:pos="0"/>
        </w:tabs>
        <w:snapToGrid w:val="0"/>
        <w:spacing w:before="62" w:beforeLines="20" w:after="62" w:afterLines="20" w:line="500" w:lineRule="exact"/>
        <w:ind w:firstLine="360" w:firstLineChars="150"/>
        <w:rPr>
          <w:rFonts w:ascii="宋体" w:hAnsi="宋体"/>
          <w:sz w:val="24"/>
        </w:rPr>
      </w:pPr>
      <w:r>
        <w:rPr>
          <w:rFonts w:hint="eastAsia" w:ascii="宋体" w:hAnsi="宋体"/>
          <w:sz w:val="24"/>
        </w:rPr>
        <w:t>（4）商务条款偏离表</w:t>
      </w:r>
      <w:r>
        <w:rPr>
          <w:rFonts w:hint="eastAsia" w:ascii="宋体" w:hAnsi="宋体" w:cs="Arial"/>
          <w:sz w:val="24"/>
        </w:rPr>
        <w:t>；</w:t>
      </w:r>
    </w:p>
    <w:p>
      <w:pPr>
        <w:tabs>
          <w:tab w:val="left" w:pos="0"/>
        </w:tabs>
        <w:snapToGrid w:val="0"/>
        <w:spacing w:before="62" w:beforeLines="20" w:after="62" w:afterLines="20" w:line="500" w:lineRule="exact"/>
        <w:ind w:firstLine="360" w:firstLineChars="150"/>
        <w:rPr>
          <w:rFonts w:ascii="宋体" w:hAnsi="宋体"/>
          <w:sz w:val="24"/>
        </w:rPr>
      </w:pPr>
      <w:r>
        <w:rPr>
          <w:rFonts w:hint="eastAsia" w:ascii="宋体" w:hAnsi="宋体"/>
          <w:sz w:val="24"/>
        </w:rPr>
        <w:t>（5）</w:t>
      </w:r>
      <w:r>
        <w:rPr>
          <w:rFonts w:ascii="宋体" w:hAnsi="宋体"/>
          <w:sz w:val="24"/>
        </w:rPr>
        <w:t>投标报价需要的其他资料</w:t>
      </w:r>
      <w:r>
        <w:rPr>
          <w:rFonts w:hint="eastAsia" w:ascii="宋体" w:hAnsi="宋体"/>
          <w:sz w:val="24"/>
        </w:rPr>
        <w:t>。</w:t>
      </w:r>
    </w:p>
    <w:p>
      <w:pPr>
        <w:adjustRightInd w:val="0"/>
        <w:snapToGrid w:val="0"/>
        <w:spacing w:before="62" w:beforeLines="20" w:after="62" w:afterLines="20" w:line="500" w:lineRule="exact"/>
        <w:ind w:firstLine="480" w:firstLineChars="200"/>
        <w:rPr>
          <w:rFonts w:ascii="宋体" w:hAnsi="宋体" w:cs="Arial"/>
          <w:sz w:val="24"/>
        </w:rPr>
      </w:pPr>
      <w:r>
        <w:rPr>
          <w:rFonts w:hint="eastAsia" w:ascii="宋体" w:hAnsi="宋体" w:cs="Arial"/>
          <w:sz w:val="24"/>
        </w:rPr>
        <w:t>3</w:t>
      </w:r>
      <w:r>
        <w:rPr>
          <w:rFonts w:ascii="宋体" w:hAnsi="宋体" w:cs="Arial"/>
          <w:sz w:val="24"/>
        </w:rPr>
        <w:t>.</w:t>
      </w:r>
      <w:r>
        <w:rPr>
          <w:rFonts w:hint="eastAsia" w:ascii="宋体" w:hAnsi="宋体" w:cs="Arial"/>
          <w:sz w:val="24"/>
        </w:rPr>
        <w:t>1.</w:t>
      </w:r>
      <w:r>
        <w:rPr>
          <w:rFonts w:ascii="宋体" w:hAnsi="宋体" w:cs="Arial"/>
          <w:sz w:val="24"/>
        </w:rPr>
        <w:t>4 技术标投标文件主要包括下列内容：</w:t>
      </w:r>
    </w:p>
    <w:p>
      <w:pPr>
        <w:tabs>
          <w:tab w:val="left" w:pos="0"/>
        </w:tabs>
        <w:adjustRightInd w:val="0"/>
        <w:snapToGrid w:val="0"/>
        <w:spacing w:before="62" w:beforeLines="20" w:after="62" w:afterLines="20"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资格证明材料：法人证</w:t>
      </w:r>
      <w:r>
        <w:rPr>
          <w:rFonts w:hint="eastAsia" w:ascii="宋体" w:hAnsi="宋体" w:cs="Arial"/>
          <w:sz w:val="24"/>
        </w:rPr>
        <w:t>明文件</w:t>
      </w:r>
      <w:r>
        <w:rPr>
          <w:rFonts w:ascii="宋体" w:hAnsi="宋体" w:cs="Arial"/>
          <w:sz w:val="24"/>
        </w:rPr>
        <w:t>及法人授权委托书、</w:t>
      </w:r>
      <w:r>
        <w:rPr>
          <w:rFonts w:hint="eastAsia" w:ascii="宋体" w:hAnsi="宋体" w:cs="Arial"/>
          <w:sz w:val="24"/>
        </w:rPr>
        <w:t>三证合一</w:t>
      </w:r>
      <w:r>
        <w:rPr>
          <w:rFonts w:ascii="宋体" w:hAnsi="宋体" w:cs="Arial"/>
          <w:sz w:val="24"/>
        </w:rPr>
        <w:t>企业法人营业执照</w:t>
      </w:r>
      <w:r>
        <w:rPr>
          <w:rFonts w:hint="eastAsia" w:ascii="宋体" w:hAnsi="宋体" w:cs="Arial"/>
          <w:sz w:val="24"/>
        </w:rPr>
        <w:t>等招标文件要求提供的材料；</w:t>
      </w:r>
    </w:p>
    <w:p>
      <w:pPr>
        <w:tabs>
          <w:tab w:val="left" w:pos="0"/>
        </w:tabs>
        <w:adjustRightInd w:val="0"/>
        <w:snapToGrid w:val="0"/>
        <w:spacing w:before="62" w:beforeLines="20" w:after="62" w:afterLines="20" w:line="500" w:lineRule="exact"/>
        <w:ind w:firstLine="480" w:firstLineChars="200"/>
        <w:rPr>
          <w:rFonts w:ascii="宋体" w:hAnsi="宋体" w:cs="Arial"/>
          <w:sz w:val="24"/>
        </w:rPr>
      </w:pPr>
      <w:r>
        <w:rPr>
          <w:rFonts w:hint="eastAsia" w:ascii="宋体" w:hAnsi="宋体" w:cs="Arial"/>
          <w:sz w:val="24"/>
        </w:rPr>
        <w:t>（2）投标保证金汇款凭证、开户许可证；</w:t>
      </w:r>
    </w:p>
    <w:p>
      <w:pPr>
        <w:adjustRightInd w:val="0"/>
        <w:snapToGrid w:val="0"/>
        <w:spacing w:before="62" w:beforeLines="20" w:after="62" w:afterLines="20" w:line="500" w:lineRule="exact"/>
        <w:ind w:firstLine="480" w:firstLineChars="200"/>
        <w:jc w:val="left"/>
        <w:rPr>
          <w:rFonts w:ascii="宋体" w:hAnsi="宋体" w:cs="Arial"/>
          <w:sz w:val="24"/>
        </w:rPr>
      </w:pPr>
      <w:r>
        <w:rPr>
          <w:rFonts w:hint="eastAsia" w:ascii="宋体" w:hAnsi="宋体" w:cs="宋体"/>
          <w:sz w:val="24"/>
        </w:rPr>
        <w:t>（3）</w:t>
      </w:r>
      <w:r>
        <w:rPr>
          <w:rFonts w:ascii="宋体" w:hAnsi="宋体" w:cs="Arial"/>
          <w:sz w:val="24"/>
        </w:rPr>
        <w:t>投标</w:t>
      </w:r>
      <w:r>
        <w:rPr>
          <w:rFonts w:hint="eastAsia" w:ascii="宋体" w:hAnsi="宋体" w:cs="Arial"/>
          <w:sz w:val="24"/>
        </w:rPr>
        <w:t>人</w:t>
      </w:r>
      <w:r>
        <w:rPr>
          <w:rFonts w:ascii="宋体" w:hAnsi="宋体" w:cs="Arial"/>
          <w:sz w:val="24"/>
        </w:rPr>
        <w:t>的业绩</w:t>
      </w:r>
      <w:r>
        <w:rPr>
          <w:rFonts w:hint="eastAsia" w:ascii="宋体" w:hAnsi="宋体" w:cs="Arial"/>
          <w:sz w:val="24"/>
        </w:rPr>
        <w:t>：</w:t>
      </w:r>
      <w:r>
        <w:rPr>
          <w:rFonts w:ascii="宋体" w:hAnsi="宋体"/>
          <w:kern w:val="0"/>
          <w:sz w:val="24"/>
        </w:rPr>
        <w:t>企业自</w:t>
      </w:r>
      <w:r>
        <w:rPr>
          <w:rFonts w:hint="eastAsia" w:ascii="宋体" w:hAnsi="宋体"/>
          <w:kern w:val="0"/>
          <w:sz w:val="24"/>
        </w:rPr>
        <w:t>2019年1月1日至今有类似项目业绩</w:t>
      </w:r>
      <w:r>
        <w:rPr>
          <w:rFonts w:hint="eastAsia" w:ascii="宋体" w:hAnsi="宋体" w:cs="Arial"/>
          <w:sz w:val="24"/>
        </w:rPr>
        <w:t>；</w:t>
      </w:r>
    </w:p>
    <w:p>
      <w:pPr>
        <w:tabs>
          <w:tab w:val="left" w:pos="1440"/>
        </w:tabs>
        <w:spacing w:line="480" w:lineRule="exact"/>
        <w:ind w:right="119" w:firstLine="480" w:firstLineChars="200"/>
        <w:jc w:val="left"/>
        <w:rPr>
          <w:rFonts w:ascii="宋体" w:hAnsi="宋体" w:cs="Arial"/>
          <w:b/>
          <w:bCs/>
          <w:sz w:val="24"/>
        </w:rPr>
      </w:pPr>
      <w:r>
        <w:rPr>
          <w:rFonts w:hint="eastAsia" w:ascii="宋体" w:hAnsi="宋体"/>
          <w:kern w:val="0"/>
          <w:sz w:val="24"/>
        </w:rPr>
        <w:t>（4）</w:t>
      </w:r>
      <w:r>
        <w:rPr>
          <w:rFonts w:hint="eastAsia" w:ascii="宋体" w:hAnsi="宋体" w:cs="Arial"/>
          <w:bCs/>
          <w:sz w:val="24"/>
        </w:rPr>
        <w:t>供</w:t>
      </w:r>
      <w:r>
        <w:rPr>
          <w:rFonts w:ascii="宋体" w:hAnsi="宋体" w:cs="Arial"/>
          <w:bCs/>
          <w:sz w:val="24"/>
        </w:rPr>
        <w:t>货设备</w:t>
      </w:r>
      <w:r>
        <w:rPr>
          <w:rFonts w:hint="eastAsia" w:ascii="宋体" w:hAnsi="宋体" w:cs="Arial"/>
          <w:bCs/>
          <w:sz w:val="24"/>
        </w:rPr>
        <w:t>及安</w:t>
      </w:r>
      <w:r>
        <w:rPr>
          <w:rFonts w:ascii="宋体" w:hAnsi="宋体" w:cs="Arial"/>
          <w:bCs/>
          <w:sz w:val="24"/>
        </w:rPr>
        <w:t>装</w:t>
      </w:r>
      <w:r>
        <w:rPr>
          <w:rFonts w:hint="eastAsia" w:ascii="宋体" w:hAnsi="宋体" w:cs="Arial"/>
          <w:bCs/>
          <w:sz w:val="24"/>
        </w:rPr>
        <w:t>材料</w:t>
      </w:r>
    </w:p>
    <w:p>
      <w:pPr>
        <w:adjustRightInd w:val="0"/>
        <w:snapToGrid w:val="0"/>
        <w:spacing w:before="62" w:beforeLines="20" w:after="62" w:afterLines="20" w:line="500" w:lineRule="exact"/>
        <w:ind w:firstLine="480" w:firstLineChars="200"/>
        <w:jc w:val="left"/>
        <w:rPr>
          <w:rFonts w:ascii="宋体" w:hAnsi="宋体"/>
          <w:b/>
          <w:kern w:val="0"/>
          <w:sz w:val="24"/>
        </w:rPr>
      </w:pPr>
      <w:r>
        <w:rPr>
          <w:rFonts w:hint="eastAsia" w:ascii="宋体" w:hAnsi="宋体" w:cs="Arial"/>
          <w:bCs/>
          <w:sz w:val="24"/>
        </w:rPr>
        <w:t>投</w:t>
      </w:r>
      <w:r>
        <w:rPr>
          <w:rFonts w:ascii="宋体" w:hAnsi="宋体" w:cs="Arial"/>
          <w:bCs/>
          <w:sz w:val="24"/>
        </w:rPr>
        <w:t>标</w:t>
      </w:r>
      <w:r>
        <w:rPr>
          <w:rFonts w:hint="eastAsia" w:ascii="宋体" w:hAnsi="宋体" w:cs="Arial"/>
          <w:bCs/>
          <w:sz w:val="24"/>
        </w:rPr>
        <w:t>文件</w:t>
      </w:r>
      <w:r>
        <w:rPr>
          <w:rFonts w:ascii="宋体" w:hAnsi="宋体" w:cs="Arial"/>
          <w:bCs/>
          <w:sz w:val="24"/>
        </w:rPr>
        <w:t>应对</w:t>
      </w:r>
      <w:r>
        <w:rPr>
          <w:rFonts w:hint="eastAsia" w:ascii="宋体" w:hAnsi="宋体" w:cs="Arial"/>
          <w:bCs/>
          <w:sz w:val="24"/>
        </w:rPr>
        <w:t>招标范</w:t>
      </w:r>
      <w:r>
        <w:rPr>
          <w:rFonts w:ascii="宋体" w:hAnsi="宋体" w:cs="Arial"/>
          <w:bCs/>
          <w:sz w:val="24"/>
        </w:rPr>
        <w:t>围内设备</w:t>
      </w:r>
      <w:r>
        <w:rPr>
          <w:rFonts w:hint="eastAsia" w:ascii="宋体" w:hAnsi="宋体" w:cs="Arial"/>
          <w:bCs/>
          <w:sz w:val="24"/>
        </w:rPr>
        <w:t>及安</w:t>
      </w:r>
      <w:r>
        <w:rPr>
          <w:rFonts w:ascii="宋体" w:hAnsi="宋体" w:cs="Arial"/>
          <w:bCs/>
          <w:sz w:val="24"/>
        </w:rPr>
        <w:t>装</w:t>
      </w:r>
      <w:r>
        <w:rPr>
          <w:rFonts w:hint="eastAsia" w:ascii="宋体" w:hAnsi="宋体" w:cs="Arial"/>
          <w:bCs/>
          <w:sz w:val="24"/>
        </w:rPr>
        <w:t>材料的元器件选配、品牌、</w:t>
      </w:r>
      <w:r>
        <w:rPr>
          <w:rFonts w:ascii="宋体" w:hAnsi="宋体" w:cs="Arial"/>
          <w:bCs/>
          <w:sz w:val="24"/>
        </w:rPr>
        <w:t>产</w:t>
      </w:r>
      <w:r>
        <w:rPr>
          <w:rFonts w:hint="eastAsia" w:ascii="宋体" w:hAnsi="宋体" w:cs="Arial"/>
          <w:bCs/>
          <w:sz w:val="24"/>
        </w:rPr>
        <w:t>地、性能主要技</w:t>
      </w:r>
      <w:r>
        <w:rPr>
          <w:rFonts w:ascii="宋体" w:hAnsi="宋体" w:cs="Arial"/>
          <w:bCs/>
          <w:sz w:val="24"/>
        </w:rPr>
        <w:t>术参数进</w:t>
      </w:r>
      <w:r>
        <w:rPr>
          <w:rFonts w:hint="eastAsia" w:ascii="宋体" w:hAnsi="宋体" w:cs="Arial"/>
          <w:bCs/>
          <w:sz w:val="24"/>
        </w:rPr>
        <w:t>行</w:t>
      </w:r>
      <w:r>
        <w:rPr>
          <w:rFonts w:ascii="宋体" w:hAnsi="宋体" w:cs="Arial"/>
          <w:bCs/>
          <w:sz w:val="24"/>
        </w:rPr>
        <w:t>详细</w:t>
      </w:r>
      <w:r>
        <w:rPr>
          <w:rFonts w:hint="eastAsia" w:ascii="宋体" w:hAnsi="宋体" w:cs="Arial"/>
          <w:bCs/>
          <w:sz w:val="24"/>
        </w:rPr>
        <w:t>描述；提供</w:t>
      </w:r>
      <w:r>
        <w:rPr>
          <w:rFonts w:ascii="宋体" w:hAnsi="宋体" w:cs="Arial"/>
          <w:bCs/>
          <w:sz w:val="24"/>
        </w:rPr>
        <w:t>主要部件清单</w:t>
      </w:r>
      <w:r>
        <w:rPr>
          <w:rFonts w:hint="eastAsia" w:ascii="宋体" w:hAnsi="宋体" w:cs="Arial"/>
          <w:bCs/>
          <w:sz w:val="24"/>
        </w:rPr>
        <w:t>、主要</w:t>
      </w:r>
      <w:r>
        <w:rPr>
          <w:rFonts w:ascii="宋体" w:hAnsi="宋体" w:cs="Arial"/>
          <w:bCs/>
          <w:sz w:val="24"/>
        </w:rPr>
        <w:t>产</w:t>
      </w:r>
      <w:r>
        <w:rPr>
          <w:rFonts w:hint="eastAsia" w:ascii="宋体" w:hAnsi="宋体" w:cs="Arial"/>
          <w:bCs/>
          <w:sz w:val="24"/>
        </w:rPr>
        <w:t>品</w:t>
      </w:r>
      <w:r>
        <w:rPr>
          <w:rFonts w:ascii="宋体" w:hAnsi="宋体" w:cs="Arial"/>
          <w:bCs/>
          <w:sz w:val="24"/>
        </w:rPr>
        <w:t>样</w:t>
      </w:r>
      <w:r>
        <w:rPr>
          <w:rFonts w:hint="eastAsia" w:ascii="宋体" w:hAnsi="宋体" w:cs="Arial"/>
          <w:bCs/>
          <w:sz w:val="24"/>
        </w:rPr>
        <w:t>本</w:t>
      </w:r>
      <w:r>
        <w:rPr>
          <w:rFonts w:hint="eastAsia" w:ascii="宋体" w:hAnsi="宋体"/>
          <w:kern w:val="0"/>
          <w:sz w:val="24"/>
        </w:rPr>
        <w:t>投标设备简介、彩页等；填写</w:t>
      </w:r>
      <w:r>
        <w:rPr>
          <w:rFonts w:hint="eastAsia" w:ascii="宋体" w:hAnsi="宋体"/>
          <w:b/>
          <w:kern w:val="0"/>
          <w:sz w:val="24"/>
        </w:rPr>
        <w:t>主要技术指标响应表；</w:t>
      </w:r>
    </w:p>
    <w:p>
      <w:pPr>
        <w:adjustRightInd w:val="0"/>
        <w:snapToGrid w:val="0"/>
        <w:spacing w:before="62" w:beforeLines="20" w:after="62" w:afterLines="20" w:line="500" w:lineRule="exact"/>
        <w:ind w:firstLine="480" w:firstLineChars="200"/>
        <w:jc w:val="left"/>
        <w:rPr>
          <w:rFonts w:ascii="宋体" w:hAnsi="宋体"/>
          <w:kern w:val="0"/>
          <w:sz w:val="24"/>
        </w:rPr>
      </w:pPr>
      <w:r>
        <w:rPr>
          <w:rFonts w:hint="eastAsia" w:ascii="宋体" w:hAnsi="宋体"/>
          <w:kern w:val="0"/>
          <w:sz w:val="24"/>
        </w:rPr>
        <w:t>（5）</w:t>
      </w:r>
      <w:r>
        <w:rPr>
          <w:rFonts w:ascii="宋体" w:hAnsi="宋体" w:cs="Arial"/>
          <w:bCs/>
          <w:sz w:val="24"/>
        </w:rPr>
        <w:t>产</w:t>
      </w:r>
      <w:r>
        <w:rPr>
          <w:rFonts w:hint="eastAsia" w:ascii="宋体" w:hAnsi="宋体" w:cs="Arial"/>
          <w:bCs/>
          <w:sz w:val="24"/>
        </w:rPr>
        <w:t>品技</w:t>
      </w:r>
      <w:r>
        <w:rPr>
          <w:rFonts w:ascii="宋体" w:hAnsi="宋体" w:cs="Arial"/>
          <w:bCs/>
          <w:sz w:val="24"/>
        </w:rPr>
        <w:t>术</w:t>
      </w:r>
      <w:r>
        <w:rPr>
          <w:rFonts w:hint="eastAsia" w:ascii="宋体" w:hAnsi="宋体" w:cs="Arial"/>
          <w:bCs/>
          <w:sz w:val="24"/>
        </w:rPr>
        <w:t>服</w:t>
      </w:r>
      <w:r>
        <w:rPr>
          <w:rFonts w:ascii="宋体" w:hAnsi="宋体" w:cs="Arial"/>
          <w:bCs/>
          <w:sz w:val="24"/>
        </w:rPr>
        <w:t>务、</w:t>
      </w:r>
      <w:r>
        <w:rPr>
          <w:rFonts w:hint="eastAsia" w:ascii="宋体" w:hAnsi="宋体" w:cs="Arial"/>
          <w:bCs/>
          <w:sz w:val="24"/>
        </w:rPr>
        <w:t>售后服</w:t>
      </w:r>
      <w:r>
        <w:rPr>
          <w:rFonts w:ascii="宋体" w:hAnsi="宋体" w:cs="Arial"/>
          <w:bCs/>
          <w:sz w:val="24"/>
        </w:rPr>
        <w:t>务</w:t>
      </w:r>
      <w:r>
        <w:rPr>
          <w:rFonts w:hint="eastAsia" w:ascii="宋体" w:hAnsi="宋体" w:cs="Arial"/>
          <w:bCs/>
          <w:sz w:val="24"/>
        </w:rPr>
        <w:t>的</w:t>
      </w:r>
      <w:r>
        <w:rPr>
          <w:rFonts w:ascii="宋体" w:hAnsi="宋体" w:cs="Arial"/>
          <w:bCs/>
          <w:sz w:val="24"/>
        </w:rPr>
        <w:t>内</w:t>
      </w:r>
      <w:r>
        <w:rPr>
          <w:rFonts w:hint="eastAsia" w:ascii="宋体" w:hAnsi="宋体" w:cs="Arial"/>
          <w:bCs/>
          <w:sz w:val="24"/>
        </w:rPr>
        <w:t>容、措施及承</w:t>
      </w:r>
      <w:r>
        <w:rPr>
          <w:rFonts w:ascii="宋体" w:hAnsi="宋体" w:cs="Arial"/>
          <w:bCs/>
          <w:sz w:val="24"/>
        </w:rPr>
        <w:t>诺</w:t>
      </w:r>
      <w:r>
        <w:rPr>
          <w:rFonts w:hint="eastAsia" w:ascii="宋体" w:hAnsi="宋体" w:cs="Arial"/>
          <w:bCs/>
          <w:sz w:val="24"/>
        </w:rPr>
        <w:t>；</w:t>
      </w:r>
      <w:r>
        <w:rPr>
          <w:rFonts w:hint="eastAsia" w:ascii="宋体" w:hAnsi="宋体" w:cs="宋体"/>
          <w:kern w:val="0"/>
          <w:sz w:val="24"/>
          <w:lang w:val="zh-CN"/>
        </w:rPr>
        <w:t>技术培训标准和条件</w:t>
      </w:r>
      <w:r>
        <w:rPr>
          <w:rFonts w:hint="eastAsia" w:ascii="宋体" w:hAnsi="宋体"/>
          <w:kern w:val="0"/>
          <w:sz w:val="24"/>
        </w:rPr>
        <w:t>；</w:t>
      </w:r>
    </w:p>
    <w:p>
      <w:pPr>
        <w:tabs>
          <w:tab w:val="left" w:pos="540"/>
        </w:tabs>
        <w:adjustRightInd w:val="0"/>
        <w:snapToGrid w:val="0"/>
        <w:spacing w:before="62" w:beforeLines="20" w:after="62" w:afterLines="20" w:line="500" w:lineRule="exact"/>
        <w:ind w:firstLine="480" w:firstLineChars="200"/>
        <w:rPr>
          <w:rFonts w:ascii="宋体" w:hAnsi="宋体"/>
          <w:sz w:val="24"/>
        </w:rPr>
      </w:pPr>
      <w:r>
        <w:rPr>
          <w:rFonts w:hint="eastAsia" w:ascii="宋体" w:hAnsi="宋体" w:cs="宋体"/>
          <w:sz w:val="24"/>
        </w:rPr>
        <w:t>（6）</w:t>
      </w:r>
      <w:r>
        <w:rPr>
          <w:rFonts w:hint="eastAsia" w:ascii="宋体" w:hAnsi="宋体"/>
          <w:sz w:val="24"/>
        </w:rPr>
        <w:t>投标人认为需要提供的其他资料。</w:t>
      </w:r>
    </w:p>
    <w:p>
      <w:pPr>
        <w:tabs>
          <w:tab w:val="left" w:pos="540"/>
        </w:tabs>
        <w:adjustRightInd w:val="0"/>
        <w:snapToGrid w:val="0"/>
        <w:spacing w:before="62" w:beforeLines="20" w:after="62" w:afterLines="20" w:line="500" w:lineRule="exact"/>
        <w:ind w:firstLine="480" w:firstLineChars="200"/>
        <w:rPr>
          <w:rFonts w:ascii="宋体" w:hAnsi="宋体" w:cs="宋体"/>
          <w:sz w:val="24"/>
        </w:rPr>
      </w:pPr>
      <w:r>
        <w:rPr>
          <w:rFonts w:hint="eastAsia" w:ascii="宋体" w:hAnsi="宋体" w:cs="宋体"/>
          <w:sz w:val="24"/>
        </w:rPr>
        <w:t>除非《投标须知前附表》有规定，否则投标文件（包括电子版）不予退还。</w:t>
      </w:r>
    </w:p>
    <w:p>
      <w:pPr>
        <w:spacing w:line="500" w:lineRule="exact"/>
      </w:pPr>
      <w:r>
        <w:rPr>
          <w:rFonts w:hint="eastAsia" w:ascii="宋体" w:hAnsi="宋体"/>
          <w:b/>
          <w:sz w:val="24"/>
        </w:rPr>
        <w:t>3.2 投标报价</w:t>
      </w:r>
    </w:p>
    <w:p>
      <w:pPr>
        <w:adjustRightInd w:val="0"/>
        <w:snapToGrid w:val="0"/>
        <w:spacing w:line="500" w:lineRule="exact"/>
        <w:ind w:firstLine="533"/>
        <w:rPr>
          <w:rFonts w:ascii="宋体" w:hAnsi="宋体"/>
          <w:sz w:val="24"/>
        </w:rPr>
      </w:pPr>
      <w:r>
        <w:rPr>
          <w:rFonts w:hint="eastAsia" w:ascii="宋体" w:hAnsi="宋体"/>
          <w:sz w:val="24"/>
        </w:rPr>
        <w:t>3.2.1</w:t>
      </w:r>
      <w:r>
        <w:rPr>
          <w:rFonts w:hint="eastAsia" w:ascii="宋体" w:hAnsi="宋体" w:cs="宋体"/>
          <w:sz w:val="24"/>
        </w:rPr>
        <w:t>本项目投标报价采用的币种为</w:t>
      </w:r>
      <w:r>
        <w:rPr>
          <w:rFonts w:hint="eastAsia" w:ascii="宋体" w:hAnsi="宋体" w:cs="宋体"/>
          <w:sz w:val="24"/>
          <w:u w:val="single"/>
        </w:rPr>
        <w:t xml:space="preserve"> 人民币 </w:t>
      </w:r>
      <w:r>
        <w:rPr>
          <w:rFonts w:hint="eastAsia" w:ascii="宋体" w:hAnsi="宋体" w:cs="宋体"/>
          <w:sz w:val="24"/>
        </w:rPr>
        <w:t>。</w:t>
      </w:r>
    </w:p>
    <w:p>
      <w:pPr>
        <w:adjustRightInd w:val="0"/>
        <w:snapToGrid w:val="0"/>
        <w:spacing w:line="500" w:lineRule="exact"/>
        <w:ind w:firstLine="532"/>
        <w:rPr>
          <w:rFonts w:ascii="宋体" w:hAnsi="宋体" w:cs="宋体"/>
          <w:sz w:val="24"/>
        </w:rPr>
      </w:pPr>
      <w:r>
        <w:rPr>
          <w:rFonts w:hint="eastAsia" w:ascii="宋体" w:hAnsi="宋体" w:cs="宋体"/>
          <w:sz w:val="24"/>
        </w:rPr>
        <w:t>本项目由投标人依据招标人提供的招标文件、澄清、补充文件提出的要求，报价方式按一次性报投标总价，</w:t>
      </w:r>
      <w:r>
        <w:rPr>
          <w:rFonts w:hint="eastAsia" w:ascii="宋体" w:hAnsi="宋体"/>
          <w:bCs/>
          <w:sz w:val="24"/>
        </w:rPr>
        <w:t>包含材料费、人工费、机械费、管理费、运输费、安装费、利润、措施费、规费、税金及风险费等所有费用，其中由于供电、供水、排水点等不在使用部位附近需要延长接线接管所增加的材料费、人工费等也须包含在投标报价内</w:t>
      </w:r>
      <w:r>
        <w:rPr>
          <w:rFonts w:hint="eastAsia" w:ascii="宋体" w:hAnsi="宋体" w:cs="宋体"/>
          <w:sz w:val="24"/>
        </w:rPr>
        <w:t>，根据市场价格及投标人实际情况编制投标报价，但其投标报价不得低于投标人成本价。在供货时间内如发生物价涨跌、政策性调整等风险因素与招标人无关，由投标人自行考虑在投标报价中。详见第四章技术规格标准及相关要求。</w:t>
      </w:r>
    </w:p>
    <w:p>
      <w:pPr>
        <w:spacing w:line="500" w:lineRule="exact"/>
        <w:ind w:firstLine="480" w:firstLineChars="200"/>
        <w:rPr>
          <w:rFonts w:ascii="宋体" w:hAnsi="宋体"/>
          <w:sz w:val="24"/>
        </w:rPr>
      </w:pPr>
      <w:r>
        <w:rPr>
          <w:rFonts w:hint="eastAsia" w:ascii="宋体" w:hAnsi="宋体"/>
          <w:sz w:val="24"/>
        </w:rPr>
        <w:t>投标人应按第六章“投标文件格式”的要求打印填写。</w:t>
      </w:r>
    </w:p>
    <w:p>
      <w:pPr>
        <w:spacing w:line="500" w:lineRule="exact"/>
        <w:ind w:firstLine="480" w:firstLineChars="200"/>
        <w:rPr>
          <w:rFonts w:ascii="宋体" w:hAnsi="宋体"/>
          <w:sz w:val="24"/>
        </w:rPr>
      </w:pPr>
      <w:r>
        <w:rPr>
          <w:rFonts w:hint="eastAsia" w:ascii="宋体" w:hAnsi="宋体"/>
          <w:sz w:val="24"/>
        </w:rPr>
        <w:t>3.2.2 投标人在投标截止时间前修改投标函中的投标总报价，应同时修改第六章“开标一览表”中的相应报价。此修改须符合本章第4.3 条的有关要求。</w:t>
      </w:r>
    </w:p>
    <w:p>
      <w:pPr>
        <w:spacing w:line="500" w:lineRule="exact"/>
        <w:ind w:firstLine="480" w:firstLineChars="200"/>
        <w:rPr>
          <w:rFonts w:ascii="宋体" w:hAnsi="宋体"/>
          <w:sz w:val="24"/>
        </w:rPr>
      </w:pPr>
      <w:r>
        <w:rPr>
          <w:rFonts w:hint="eastAsia" w:ascii="宋体" w:hAnsi="宋体"/>
          <w:sz w:val="24"/>
        </w:rPr>
        <w:t>3.2.3 投标人应在招标文件所附的开标一览表和分项报价表上写明投标货物、设计、施工及服务的分项价格和投标总价。除属小数点明显错误外，如分项报价和总价有出入，以分项报价为准修正总价；如开标一览表中的投标价格与分项报价表的投标价格有出入，以开标一览表为准；大写与小写有差异，则以大写为准。如分项报价中存在缺漏项，则视为缺漏项价格已包含在其他分项报价之中。投标人在投标截止时间前修改投标报价总额，应同时修改投标文件</w:t>
      </w:r>
      <w:r>
        <w:rPr>
          <w:rFonts w:ascii="宋体" w:hAnsi="宋体"/>
          <w:sz w:val="24"/>
        </w:rPr>
        <w:t>“分项报价表”中的相应报价。此修改须符合本章第4.3款的有关要求。</w:t>
      </w:r>
    </w:p>
    <w:p>
      <w:pPr>
        <w:spacing w:line="500" w:lineRule="exact"/>
        <w:ind w:firstLine="480" w:firstLineChars="200"/>
        <w:rPr>
          <w:rFonts w:ascii="宋体" w:hAnsi="宋体"/>
          <w:sz w:val="24"/>
        </w:rPr>
      </w:pPr>
      <w:r>
        <w:rPr>
          <w:rFonts w:hint="eastAsia" w:ascii="宋体" w:hAnsi="宋体"/>
          <w:sz w:val="24"/>
        </w:rPr>
        <w:t>除非另有规定，招标人只接受投标人一个方案和投标人一种报价的投标，投标人多方案、多报价的投标文件将不被接受。投标人在分项报价表中所报相关价格在合同履约期间不得以任何理由予以提价。</w:t>
      </w:r>
    </w:p>
    <w:p>
      <w:pPr>
        <w:spacing w:line="360" w:lineRule="auto"/>
        <w:ind w:firstLine="480" w:firstLineChars="200"/>
        <w:rPr>
          <w:rFonts w:ascii="宋体" w:hAnsi="宋体"/>
          <w:sz w:val="24"/>
        </w:rPr>
      </w:pPr>
      <w:r>
        <w:rPr>
          <w:rFonts w:hint="eastAsia" w:ascii="宋体" w:hAnsi="宋体"/>
          <w:sz w:val="24"/>
        </w:rPr>
        <w:t>3.2.4投标人应充分了解该项目的总体情况以及影响投标报价的其他要素。报价应包含所投项目的设计及施工、设备、主辅材料的采购、运输、储存、安装、调试运行、检测验收、安全保护、现场清理、质量保证及售后服务等所有过程中的人工费、材料费、机械费、管理费、税金、措施费、利润、服务期限内的风险费用、关税（若投标产品为进口产品）等完成本次招标范围内工作所发生的全部费用。投标报价为签订合同的依据。</w:t>
      </w:r>
    </w:p>
    <w:p>
      <w:pPr>
        <w:spacing w:line="500" w:lineRule="exact"/>
        <w:ind w:firstLine="484" w:firstLineChars="202"/>
        <w:rPr>
          <w:rFonts w:hAnsi="宋体"/>
          <w:sz w:val="24"/>
        </w:rPr>
      </w:pPr>
      <w:r>
        <w:rPr>
          <w:rFonts w:hint="eastAsia" w:ascii="宋体" w:hAnsi="宋体" w:cs="宋体"/>
          <w:sz w:val="24"/>
        </w:rPr>
        <w:t>投标报价应包括设计及资料、试验、现场服务(售前、售中、质保期内的售后)等相关的所有费用。技术服务的价格计入投标总价。</w:t>
      </w:r>
    </w:p>
    <w:p>
      <w:pPr>
        <w:tabs>
          <w:tab w:val="left" w:pos="7875"/>
        </w:tabs>
        <w:spacing w:line="500" w:lineRule="exact"/>
        <w:ind w:firstLine="420"/>
        <w:rPr>
          <w:rFonts w:ascii="宋体" w:hAnsi="宋体" w:cs="宋体"/>
          <w:sz w:val="24"/>
        </w:rPr>
      </w:pPr>
      <w:r>
        <w:rPr>
          <w:rFonts w:hint="eastAsia" w:ascii="宋体" w:hAnsi="宋体" w:cs="宋体"/>
          <w:sz w:val="24"/>
        </w:rPr>
        <w:t>投标人的报价必须充分考虑到服务要求和特点，在资源配置方面必须满足服务需求，能达到预期的效果，并能够保持持续性改进提升的投入能力。</w:t>
      </w:r>
    </w:p>
    <w:p>
      <w:pPr>
        <w:pStyle w:val="22"/>
        <w:snapToGrid w:val="0"/>
        <w:spacing w:line="500" w:lineRule="exact"/>
        <w:ind w:firstLine="480" w:firstLineChars="200"/>
        <w:jc w:val="left"/>
        <w:rPr>
          <w:rFonts w:hAnsi="宋体"/>
          <w:sz w:val="24"/>
        </w:rPr>
      </w:pPr>
      <w:r>
        <w:rPr>
          <w:rFonts w:hint="eastAsia" w:hAnsi="宋体"/>
          <w:sz w:val="24"/>
        </w:rPr>
        <w:t>3.2.5不建议投标人采用总价优惠或以总价百分比优惠的方式进行投标报价，其优惠可直接计算并体现在各项投标报价的单价中。</w:t>
      </w:r>
    </w:p>
    <w:p>
      <w:pPr>
        <w:spacing w:line="500" w:lineRule="exact"/>
        <w:ind w:firstLine="420"/>
        <w:rPr>
          <w:rFonts w:ascii="宋体" w:hAnsi="宋体" w:cs="宋体"/>
          <w:sz w:val="24"/>
        </w:rPr>
      </w:pPr>
      <w:r>
        <w:rPr>
          <w:rFonts w:hint="eastAsia" w:ascii="宋体" w:hAnsi="宋体" w:cs="宋体"/>
          <w:sz w:val="24"/>
        </w:rPr>
        <w:t>3.2.6 投标人参加投标所产生的所有费用，必须自行承担。不论投标的结果如何，招标人（招标代理机构）在任何情况下均无义务和责任承担这些费用。</w:t>
      </w:r>
    </w:p>
    <w:p>
      <w:pPr>
        <w:spacing w:line="500" w:lineRule="exact"/>
        <w:ind w:firstLine="417" w:firstLineChars="174"/>
        <w:rPr>
          <w:rFonts w:ascii="宋体" w:hAnsi="宋体" w:cs="宋体"/>
          <w:sz w:val="24"/>
        </w:rPr>
      </w:pPr>
      <w:r>
        <w:rPr>
          <w:rFonts w:hint="eastAsia" w:ascii="宋体" w:hAnsi="宋体" w:cs="宋体"/>
          <w:sz w:val="24"/>
        </w:rPr>
        <w:t>3.2.7 投标人认为应该包括的其他费用。</w:t>
      </w:r>
    </w:p>
    <w:p>
      <w:pPr>
        <w:spacing w:line="500" w:lineRule="exact"/>
        <w:rPr>
          <w:rFonts w:ascii="宋体" w:hAnsi="宋体"/>
          <w:b/>
          <w:sz w:val="24"/>
        </w:rPr>
      </w:pPr>
      <w:r>
        <w:rPr>
          <w:rFonts w:hint="eastAsia" w:ascii="宋体" w:hAnsi="宋体"/>
          <w:b/>
          <w:sz w:val="24"/>
        </w:rPr>
        <w:t>3.3 投标有效期</w:t>
      </w:r>
    </w:p>
    <w:p>
      <w:pPr>
        <w:spacing w:line="500" w:lineRule="exact"/>
        <w:ind w:firstLine="480" w:firstLineChars="200"/>
        <w:rPr>
          <w:rFonts w:ascii="宋体" w:hAnsi="宋体"/>
          <w:sz w:val="24"/>
        </w:rPr>
      </w:pPr>
      <w:r>
        <w:rPr>
          <w:rFonts w:hint="eastAsia" w:ascii="宋体" w:hAnsi="宋体"/>
          <w:sz w:val="24"/>
        </w:rPr>
        <w:t>3.3.1 在《投标须知前附表》规定的投标有效期（90日历天）内，投标人不得要求撤销或修改其投标文件。</w:t>
      </w:r>
    </w:p>
    <w:p>
      <w:pPr>
        <w:spacing w:line="500" w:lineRule="exact"/>
        <w:ind w:firstLine="480" w:firstLineChars="200"/>
        <w:rPr>
          <w:rFonts w:ascii="宋体" w:hAnsi="宋体"/>
          <w:sz w:val="24"/>
        </w:rPr>
      </w:pPr>
      <w:r>
        <w:rPr>
          <w:rFonts w:hint="eastAsia" w:ascii="宋体" w:hAnsi="宋体" w:cs="宋体"/>
          <w:sz w:val="24"/>
        </w:rPr>
        <w:t>招标文件规定的投标有效期反映了招标人的要求，是投标有效期的低限，投标人承诺的投标有效期，必须不短于招标文件规定的投标有效期，否则将构成对招标文件的非实质性响应。</w:t>
      </w:r>
    </w:p>
    <w:p>
      <w:pPr>
        <w:spacing w:line="500" w:lineRule="exact"/>
        <w:ind w:firstLine="480" w:firstLineChars="200"/>
        <w:rPr>
          <w:rFonts w:ascii="宋体" w:hAnsi="宋体"/>
          <w:sz w:val="24"/>
        </w:rPr>
      </w:pPr>
      <w:r>
        <w:rPr>
          <w:rFonts w:hint="eastAsia" w:ascii="宋体" w:hAnsi="宋体"/>
          <w:sz w:val="24"/>
        </w:rPr>
        <w:t>3.3.2 出现特殊情况需要延长投标有效期的，招标人以书面/邮件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500" w:lineRule="exact"/>
        <w:rPr>
          <w:rFonts w:ascii="宋体" w:hAnsi="宋体"/>
          <w:b/>
          <w:sz w:val="24"/>
        </w:rPr>
      </w:pPr>
      <w:r>
        <w:rPr>
          <w:rFonts w:hint="eastAsia" w:ascii="宋体" w:hAnsi="宋体"/>
          <w:b/>
          <w:sz w:val="24"/>
        </w:rPr>
        <w:t>3.4 投标保证金</w:t>
      </w:r>
    </w:p>
    <w:p>
      <w:pPr>
        <w:spacing w:line="500" w:lineRule="exact"/>
        <w:ind w:firstLine="480" w:firstLineChars="200"/>
        <w:rPr>
          <w:rFonts w:ascii="宋体" w:hAnsi="宋体"/>
          <w:sz w:val="24"/>
        </w:rPr>
      </w:pPr>
      <w:r>
        <w:rPr>
          <w:rFonts w:hint="eastAsia" w:ascii="宋体" w:hAnsi="宋体"/>
          <w:sz w:val="24"/>
        </w:rPr>
        <w:t>3.4.1 投标人在递交投标文件的同时，应按投标人须知前附表规定的时间、金额、担保形式、递交方式足额递交投标保证金，并作为其投标文件的组成部分。联合体投标的，其投标保证金由牵头人递交，并应符合投标人须知前附表的规定。</w:t>
      </w:r>
    </w:p>
    <w:p>
      <w:pPr>
        <w:spacing w:line="500" w:lineRule="exact"/>
        <w:ind w:firstLine="482" w:firstLineChars="200"/>
        <w:rPr>
          <w:rFonts w:ascii="宋体" w:hAnsi="宋体"/>
          <w:b/>
          <w:bCs/>
          <w:sz w:val="24"/>
        </w:rPr>
      </w:pPr>
      <w:r>
        <w:rPr>
          <w:rFonts w:hint="eastAsia" w:ascii="宋体" w:hAnsi="宋体"/>
          <w:b/>
          <w:bCs/>
          <w:sz w:val="24"/>
        </w:rPr>
        <w:t>3.4.2 投标人不按本章第3.4.1 条要求足额提交投标保证金的，其投标文件作废标处理。</w:t>
      </w:r>
    </w:p>
    <w:p>
      <w:pPr>
        <w:spacing w:line="500" w:lineRule="exact"/>
        <w:ind w:firstLine="480" w:firstLineChars="200"/>
        <w:rPr>
          <w:rFonts w:ascii="宋体" w:hAnsi="宋体"/>
          <w:sz w:val="24"/>
        </w:rPr>
      </w:pPr>
      <w:r>
        <w:rPr>
          <w:rFonts w:hint="eastAsia" w:ascii="宋体" w:hAnsi="宋体"/>
          <w:sz w:val="24"/>
        </w:rPr>
        <w:t>3.4.3 中标候选人以外的</w:t>
      </w:r>
      <w:r>
        <w:rPr>
          <w:rFonts w:ascii="宋体" w:hAnsi="宋体"/>
          <w:sz w:val="24"/>
        </w:rPr>
        <w:t>投标人投标</w:t>
      </w:r>
      <w:r>
        <w:rPr>
          <w:rFonts w:hint="eastAsia" w:ascii="宋体" w:hAnsi="宋体"/>
          <w:sz w:val="24"/>
        </w:rPr>
        <w:t>保证金</w:t>
      </w:r>
      <w:r>
        <w:rPr>
          <w:rFonts w:ascii="宋体" w:hAnsi="宋体"/>
          <w:sz w:val="24"/>
        </w:rPr>
        <w:t>将</w:t>
      </w:r>
      <w:r>
        <w:rPr>
          <w:rFonts w:hint="eastAsia" w:ascii="宋体" w:hAnsi="宋体"/>
          <w:sz w:val="24"/>
        </w:rPr>
        <w:t>在中标通知书发出后5个工作日内予以</w:t>
      </w:r>
      <w:r>
        <w:rPr>
          <w:rFonts w:ascii="宋体" w:hAnsi="宋体"/>
          <w:sz w:val="24"/>
        </w:rPr>
        <w:t>无</w:t>
      </w:r>
      <w:r>
        <w:rPr>
          <w:rFonts w:hint="eastAsia" w:ascii="宋体" w:hAnsi="宋体"/>
          <w:sz w:val="24"/>
        </w:rPr>
        <w:t>息退还。</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w:t>
      </w:r>
      <w:r>
        <w:rPr>
          <w:rFonts w:hint="eastAsia" w:ascii="宋体" w:hAnsi="宋体"/>
          <w:sz w:val="24"/>
        </w:rPr>
        <w:t>4未中</w:t>
      </w:r>
      <w:r>
        <w:rPr>
          <w:rFonts w:ascii="宋体" w:hAnsi="宋体"/>
          <w:sz w:val="24"/>
        </w:rPr>
        <w:t>标</w:t>
      </w:r>
      <w:r>
        <w:rPr>
          <w:rFonts w:hint="eastAsia" w:ascii="宋体" w:hAnsi="宋体"/>
          <w:sz w:val="24"/>
        </w:rPr>
        <w:t>的中</w:t>
      </w:r>
      <w:r>
        <w:rPr>
          <w:rFonts w:ascii="宋体" w:hAnsi="宋体"/>
          <w:sz w:val="24"/>
        </w:rPr>
        <w:t>标候选</w:t>
      </w:r>
      <w:r>
        <w:rPr>
          <w:rFonts w:hint="eastAsia" w:ascii="宋体" w:hAnsi="宋体"/>
          <w:sz w:val="24"/>
        </w:rPr>
        <w:t>人保</w:t>
      </w:r>
      <w:r>
        <w:rPr>
          <w:rFonts w:ascii="宋体" w:hAnsi="宋体"/>
          <w:sz w:val="24"/>
        </w:rPr>
        <w:t>证金</w:t>
      </w:r>
      <w:r>
        <w:rPr>
          <w:rFonts w:hint="eastAsia" w:ascii="宋体" w:hAnsi="宋体"/>
          <w:sz w:val="24"/>
        </w:rPr>
        <w:t>在中</w:t>
      </w:r>
      <w:r>
        <w:rPr>
          <w:rFonts w:ascii="宋体" w:hAnsi="宋体"/>
          <w:sz w:val="24"/>
        </w:rPr>
        <w:t>标</w:t>
      </w:r>
      <w:r>
        <w:rPr>
          <w:rFonts w:hint="eastAsia" w:ascii="宋体" w:hAnsi="宋体"/>
          <w:sz w:val="24"/>
        </w:rPr>
        <w:t>人同招</w:t>
      </w:r>
      <w:r>
        <w:rPr>
          <w:rFonts w:ascii="宋体" w:hAnsi="宋体"/>
          <w:sz w:val="24"/>
        </w:rPr>
        <w:t>标</w:t>
      </w:r>
      <w:r>
        <w:rPr>
          <w:rFonts w:hint="eastAsia" w:ascii="宋体" w:hAnsi="宋体"/>
          <w:sz w:val="24"/>
        </w:rPr>
        <w:t>人合同</w:t>
      </w:r>
      <w:r>
        <w:rPr>
          <w:rFonts w:ascii="宋体" w:hAnsi="宋体"/>
          <w:sz w:val="24"/>
        </w:rPr>
        <w:t>签订</w:t>
      </w:r>
      <w:r>
        <w:rPr>
          <w:rFonts w:hint="eastAsia" w:ascii="宋体" w:hAnsi="宋体"/>
          <w:sz w:val="24"/>
        </w:rPr>
        <w:t>后5</w:t>
      </w:r>
      <w:r>
        <w:rPr>
          <w:rFonts w:ascii="宋体" w:hAnsi="宋体"/>
          <w:sz w:val="24"/>
        </w:rPr>
        <w:t>个</w:t>
      </w:r>
      <w:r>
        <w:rPr>
          <w:rFonts w:hint="eastAsia" w:ascii="宋体" w:hAnsi="宋体"/>
          <w:sz w:val="24"/>
        </w:rPr>
        <w:t>工作日</w:t>
      </w:r>
      <w:r>
        <w:rPr>
          <w:rFonts w:ascii="宋体" w:hAnsi="宋体"/>
          <w:sz w:val="24"/>
        </w:rPr>
        <w:t>内无</w:t>
      </w:r>
      <w:r>
        <w:rPr>
          <w:rFonts w:hint="eastAsia" w:ascii="宋体" w:hAnsi="宋体"/>
          <w:sz w:val="24"/>
        </w:rPr>
        <w:t>息退</w:t>
      </w:r>
      <w:r>
        <w:rPr>
          <w:rFonts w:ascii="宋体" w:hAnsi="宋体"/>
          <w:sz w:val="24"/>
        </w:rPr>
        <w:t>还</w:t>
      </w:r>
      <w:r>
        <w:rPr>
          <w:rFonts w:hint="eastAsia" w:ascii="宋体" w:hAnsi="宋体"/>
          <w:sz w:val="24"/>
        </w:rPr>
        <w:t>；中</w:t>
      </w:r>
      <w:r>
        <w:rPr>
          <w:rFonts w:ascii="宋体" w:hAnsi="宋体"/>
          <w:sz w:val="24"/>
        </w:rPr>
        <w:t>标</w:t>
      </w:r>
      <w:r>
        <w:rPr>
          <w:rFonts w:hint="eastAsia" w:ascii="宋体" w:hAnsi="宋体"/>
          <w:sz w:val="24"/>
        </w:rPr>
        <w:t>人的投</w:t>
      </w:r>
      <w:r>
        <w:rPr>
          <w:rFonts w:ascii="宋体" w:hAnsi="宋体"/>
          <w:sz w:val="24"/>
        </w:rPr>
        <w:t>标</w:t>
      </w:r>
      <w:r>
        <w:rPr>
          <w:rFonts w:hint="eastAsia" w:ascii="宋体" w:hAnsi="宋体"/>
          <w:sz w:val="24"/>
        </w:rPr>
        <w:t>保</w:t>
      </w:r>
      <w:r>
        <w:rPr>
          <w:rFonts w:ascii="宋体" w:hAnsi="宋体"/>
          <w:sz w:val="24"/>
        </w:rPr>
        <w:t>证金</w:t>
      </w:r>
      <w:r>
        <w:rPr>
          <w:rFonts w:hint="eastAsia" w:ascii="宋体" w:hAnsi="宋体"/>
          <w:sz w:val="24"/>
        </w:rPr>
        <w:t>在与招</w:t>
      </w:r>
      <w:r>
        <w:rPr>
          <w:rFonts w:ascii="宋体" w:hAnsi="宋体"/>
          <w:sz w:val="24"/>
        </w:rPr>
        <w:t>标</w:t>
      </w:r>
      <w:r>
        <w:rPr>
          <w:rFonts w:hint="eastAsia" w:ascii="宋体" w:hAnsi="宋体"/>
          <w:sz w:val="24"/>
        </w:rPr>
        <w:t>人</w:t>
      </w:r>
      <w:r>
        <w:rPr>
          <w:rFonts w:ascii="宋体" w:hAnsi="宋体"/>
          <w:sz w:val="24"/>
        </w:rPr>
        <w:t>签订</w:t>
      </w:r>
      <w:r>
        <w:rPr>
          <w:rFonts w:hint="eastAsia" w:ascii="宋体" w:hAnsi="宋体"/>
          <w:sz w:val="24"/>
        </w:rPr>
        <w:t>合同并已</w:t>
      </w:r>
      <w:r>
        <w:rPr>
          <w:rFonts w:ascii="宋体" w:hAnsi="宋体"/>
          <w:sz w:val="24"/>
        </w:rPr>
        <w:t>缴纳</w:t>
      </w:r>
      <w:r>
        <w:rPr>
          <w:rFonts w:hint="eastAsia" w:ascii="宋体" w:hAnsi="宋体"/>
          <w:sz w:val="24"/>
        </w:rPr>
        <w:t>招</w:t>
      </w:r>
      <w:r>
        <w:rPr>
          <w:rFonts w:ascii="宋体" w:hAnsi="宋体"/>
          <w:sz w:val="24"/>
        </w:rPr>
        <w:t>标</w:t>
      </w:r>
      <w:r>
        <w:rPr>
          <w:rFonts w:hint="eastAsia" w:ascii="宋体" w:hAnsi="宋体"/>
          <w:sz w:val="24"/>
        </w:rPr>
        <w:t>代理服</w:t>
      </w:r>
      <w:r>
        <w:rPr>
          <w:rFonts w:ascii="宋体" w:hAnsi="宋体"/>
          <w:sz w:val="24"/>
        </w:rPr>
        <w:t>务费</w:t>
      </w:r>
      <w:r>
        <w:rPr>
          <w:rFonts w:hint="eastAsia" w:ascii="宋体" w:hAnsi="宋体"/>
          <w:sz w:val="24"/>
        </w:rPr>
        <w:t>后</w:t>
      </w:r>
      <w:r>
        <w:rPr>
          <w:rFonts w:ascii="宋体" w:hAnsi="宋体"/>
          <w:sz w:val="24"/>
        </w:rPr>
        <w:t>无</w:t>
      </w:r>
      <w:r>
        <w:rPr>
          <w:rFonts w:hint="eastAsia" w:ascii="宋体" w:hAnsi="宋体"/>
          <w:sz w:val="24"/>
        </w:rPr>
        <w:t>息退</w:t>
      </w:r>
      <w:r>
        <w:rPr>
          <w:rFonts w:ascii="宋体" w:hAnsi="宋体"/>
          <w:sz w:val="24"/>
        </w:rPr>
        <w:t>还</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3.4.5 有下列情形之一的，投标保证金将不予退还：</w:t>
      </w:r>
    </w:p>
    <w:p>
      <w:pPr>
        <w:spacing w:line="500" w:lineRule="exact"/>
        <w:ind w:firstLine="480" w:firstLineChars="200"/>
        <w:rPr>
          <w:rFonts w:ascii="宋体" w:hAnsi="宋体" w:cs="Arial"/>
          <w:sz w:val="24"/>
        </w:rPr>
      </w:pPr>
      <w:r>
        <w:rPr>
          <w:rFonts w:hint="eastAsia" w:ascii="宋体" w:hAnsi="宋体"/>
          <w:sz w:val="24"/>
        </w:rPr>
        <w:t>(1) 在招标投标活动中串通投标、弄虚作假、以他人名义投标；投标人之间相</w:t>
      </w:r>
      <w:r>
        <w:rPr>
          <w:rFonts w:hint="eastAsia" w:ascii="宋体" w:hAnsi="宋体" w:cs="Arial"/>
          <w:sz w:val="24"/>
        </w:rPr>
        <w:t>互串通投</w:t>
      </w:r>
      <w:r>
        <w:rPr>
          <w:rFonts w:ascii="宋体" w:hAnsi="宋体" w:cs="Arial"/>
          <w:sz w:val="24"/>
        </w:rPr>
        <w:t>标有</w:t>
      </w:r>
      <w:r>
        <w:rPr>
          <w:rFonts w:hint="eastAsia" w:ascii="宋体" w:hAnsi="宋体" w:cs="Arial"/>
          <w:sz w:val="24"/>
        </w:rPr>
        <w:t>意抬高或</w:t>
      </w:r>
      <w:r>
        <w:rPr>
          <w:rFonts w:ascii="宋体" w:hAnsi="宋体" w:cs="Arial"/>
          <w:sz w:val="24"/>
        </w:rPr>
        <w:t>压</w:t>
      </w:r>
      <w:r>
        <w:rPr>
          <w:rFonts w:hint="eastAsia" w:ascii="宋体" w:hAnsi="宋体" w:cs="Arial"/>
          <w:sz w:val="24"/>
        </w:rPr>
        <w:t>低投</w:t>
      </w:r>
      <w:r>
        <w:rPr>
          <w:rFonts w:ascii="宋体" w:hAnsi="宋体" w:cs="Arial"/>
          <w:sz w:val="24"/>
        </w:rPr>
        <w:t>标报价</w:t>
      </w:r>
      <w:r>
        <w:rPr>
          <w:rFonts w:hint="eastAsia" w:ascii="宋体" w:hAnsi="宋体" w:cs="Arial"/>
          <w:sz w:val="24"/>
        </w:rPr>
        <w:t>，或</w:t>
      </w:r>
      <w:r>
        <w:rPr>
          <w:rFonts w:ascii="宋体" w:hAnsi="宋体" w:cs="Arial"/>
          <w:sz w:val="24"/>
        </w:rPr>
        <w:t>两</w:t>
      </w:r>
      <w:r>
        <w:rPr>
          <w:rFonts w:hint="eastAsia" w:ascii="宋体" w:hAnsi="宋体" w:cs="Arial"/>
          <w:sz w:val="24"/>
        </w:rPr>
        <w:t>家投</w:t>
      </w:r>
      <w:r>
        <w:rPr>
          <w:rFonts w:ascii="宋体" w:hAnsi="宋体" w:cs="Arial"/>
          <w:sz w:val="24"/>
        </w:rPr>
        <w:t>标</w:t>
      </w:r>
      <w:r>
        <w:rPr>
          <w:rFonts w:hint="eastAsia" w:ascii="宋体" w:hAnsi="宋体" w:cs="Arial"/>
          <w:sz w:val="24"/>
        </w:rPr>
        <w:t>文件</w:t>
      </w:r>
      <w:r>
        <w:rPr>
          <w:rFonts w:ascii="宋体" w:hAnsi="宋体" w:cs="Arial"/>
          <w:sz w:val="24"/>
        </w:rPr>
        <w:t>内</w:t>
      </w:r>
      <w:r>
        <w:rPr>
          <w:rFonts w:hint="eastAsia" w:ascii="宋体" w:hAnsi="宋体" w:cs="Arial"/>
          <w:sz w:val="24"/>
        </w:rPr>
        <w:t>容有非投</w:t>
      </w:r>
      <w:r>
        <w:rPr>
          <w:rFonts w:ascii="宋体" w:hAnsi="宋体" w:cs="Arial"/>
          <w:sz w:val="24"/>
        </w:rPr>
        <w:t>标</w:t>
      </w:r>
      <w:r>
        <w:rPr>
          <w:rFonts w:hint="eastAsia" w:ascii="宋体" w:hAnsi="宋体" w:cs="Arial"/>
          <w:sz w:val="24"/>
        </w:rPr>
        <w:t>文件格式化原因造成的雷同或</w:t>
      </w:r>
      <w:r>
        <w:rPr>
          <w:rFonts w:ascii="宋体" w:hAnsi="宋体" w:cs="Arial"/>
          <w:sz w:val="24"/>
        </w:rPr>
        <w:t>发</w:t>
      </w:r>
      <w:r>
        <w:rPr>
          <w:rFonts w:hint="eastAsia" w:ascii="宋体" w:hAnsi="宋体" w:cs="Arial"/>
          <w:sz w:val="24"/>
        </w:rPr>
        <w:t>生抄</w:t>
      </w:r>
      <w:r>
        <w:rPr>
          <w:rFonts w:ascii="宋体" w:hAnsi="宋体" w:cs="Arial"/>
          <w:sz w:val="24"/>
        </w:rPr>
        <w:t>袭</w:t>
      </w:r>
      <w:r>
        <w:rPr>
          <w:rFonts w:hint="eastAsia" w:ascii="宋体" w:hAnsi="宋体" w:cs="Arial"/>
          <w:sz w:val="24"/>
        </w:rPr>
        <w:t>行</w:t>
      </w:r>
      <w:r>
        <w:rPr>
          <w:rFonts w:ascii="宋体" w:hAnsi="宋体" w:cs="Arial"/>
          <w:sz w:val="24"/>
        </w:rPr>
        <w:t>为</w:t>
      </w:r>
      <w:r>
        <w:rPr>
          <w:rFonts w:hint="eastAsia" w:ascii="宋体" w:hAnsi="宋体" w:cs="Arial"/>
          <w:sz w:val="24"/>
        </w:rPr>
        <w:t>的</w:t>
      </w:r>
      <w:r>
        <w:rPr>
          <w:rFonts w:ascii="宋体" w:hAnsi="宋体" w:cs="Arial"/>
          <w:sz w:val="24"/>
        </w:rPr>
        <w:t>(经</w:t>
      </w:r>
      <w:r>
        <w:rPr>
          <w:rFonts w:hint="eastAsia" w:ascii="宋体" w:hAnsi="宋体" w:cs="Arial"/>
          <w:sz w:val="24"/>
        </w:rPr>
        <w:t>核</w:t>
      </w:r>
      <w:r>
        <w:rPr>
          <w:rFonts w:ascii="宋体" w:hAnsi="宋体" w:cs="Arial"/>
          <w:sz w:val="24"/>
        </w:rPr>
        <w:t>实)</w:t>
      </w:r>
      <w:r>
        <w:rPr>
          <w:rFonts w:hint="eastAsia" w:ascii="宋体" w:hAnsi="宋体" w:cs="Arial"/>
          <w:sz w:val="24"/>
        </w:rPr>
        <w:t xml:space="preserve"> ，如</w:t>
      </w:r>
      <w:r>
        <w:rPr>
          <w:rFonts w:ascii="宋体" w:hAnsi="宋体" w:cs="Arial"/>
          <w:sz w:val="24"/>
        </w:rPr>
        <w:t>发</w:t>
      </w:r>
      <w:r>
        <w:rPr>
          <w:rFonts w:hint="eastAsia" w:ascii="宋体" w:hAnsi="宋体" w:cs="Arial"/>
          <w:sz w:val="24"/>
        </w:rPr>
        <w:t>生以上情</w:t>
      </w:r>
      <w:r>
        <w:rPr>
          <w:rFonts w:ascii="宋体" w:hAnsi="宋体" w:cs="Arial"/>
          <w:sz w:val="24"/>
        </w:rPr>
        <w:t>况</w:t>
      </w:r>
      <w:r>
        <w:rPr>
          <w:rFonts w:hint="eastAsia" w:ascii="宋体" w:hAnsi="宋体" w:cs="Arial"/>
          <w:sz w:val="24"/>
        </w:rPr>
        <w:t>之一，不</w:t>
      </w:r>
      <w:r>
        <w:rPr>
          <w:rFonts w:ascii="宋体" w:hAnsi="宋体" w:cs="Arial"/>
          <w:sz w:val="24"/>
        </w:rPr>
        <w:t>论</w:t>
      </w:r>
      <w:r>
        <w:rPr>
          <w:rFonts w:hint="eastAsia" w:ascii="宋体" w:hAnsi="宋体" w:cs="Arial"/>
          <w:sz w:val="24"/>
        </w:rPr>
        <w:t>何种理由，相</w:t>
      </w:r>
      <w:r>
        <w:rPr>
          <w:rFonts w:ascii="宋体" w:hAnsi="宋体" w:cs="Arial"/>
          <w:sz w:val="24"/>
        </w:rPr>
        <w:t>关</w:t>
      </w:r>
      <w:r>
        <w:rPr>
          <w:rFonts w:hint="eastAsia" w:ascii="宋体" w:hAnsi="宋体" w:cs="Arial"/>
          <w:sz w:val="24"/>
        </w:rPr>
        <w:t>投</w:t>
      </w:r>
      <w:r>
        <w:rPr>
          <w:rFonts w:ascii="宋体" w:hAnsi="宋体" w:cs="Arial"/>
          <w:sz w:val="24"/>
        </w:rPr>
        <w:t>标</w:t>
      </w:r>
      <w:r>
        <w:rPr>
          <w:rFonts w:hint="eastAsia" w:ascii="宋体" w:hAnsi="宋体" w:cs="Arial"/>
          <w:sz w:val="24"/>
        </w:rPr>
        <w:t>人的投</w:t>
      </w:r>
      <w:r>
        <w:rPr>
          <w:rFonts w:ascii="宋体" w:hAnsi="宋体" w:cs="Arial"/>
          <w:sz w:val="24"/>
        </w:rPr>
        <w:t>标</w:t>
      </w:r>
      <w:r>
        <w:rPr>
          <w:rFonts w:hint="eastAsia" w:ascii="宋体" w:hAnsi="宋体" w:cs="Arial"/>
          <w:sz w:val="24"/>
        </w:rPr>
        <w:t>均被</w:t>
      </w:r>
      <w:r>
        <w:rPr>
          <w:rFonts w:ascii="宋体" w:hAnsi="宋体" w:cs="Arial"/>
          <w:sz w:val="24"/>
        </w:rPr>
        <w:t>视为无</w:t>
      </w:r>
      <w:r>
        <w:rPr>
          <w:rFonts w:hint="eastAsia" w:ascii="宋体" w:hAnsi="宋体" w:cs="Arial"/>
          <w:sz w:val="24"/>
        </w:rPr>
        <w:t>效</w:t>
      </w:r>
      <w:r>
        <w:rPr>
          <w:rFonts w:ascii="宋体" w:hAnsi="宋体" w:cs="Arial"/>
          <w:sz w:val="24"/>
        </w:rPr>
        <w:t>标</w:t>
      </w:r>
      <w:r>
        <w:rPr>
          <w:rFonts w:hint="eastAsia" w:ascii="宋体" w:hAnsi="宋体" w:cs="Arial"/>
          <w:sz w:val="24"/>
        </w:rPr>
        <w:t>，除投</w:t>
      </w:r>
      <w:r>
        <w:rPr>
          <w:rFonts w:ascii="宋体" w:hAnsi="宋体" w:cs="Arial"/>
          <w:sz w:val="24"/>
        </w:rPr>
        <w:t>标</w:t>
      </w:r>
      <w:r>
        <w:rPr>
          <w:rFonts w:hint="eastAsia" w:ascii="宋体" w:hAnsi="宋体" w:cs="Arial"/>
          <w:sz w:val="24"/>
        </w:rPr>
        <w:t>保</w:t>
      </w:r>
      <w:r>
        <w:rPr>
          <w:rFonts w:ascii="宋体" w:hAnsi="宋体" w:cs="Arial"/>
          <w:sz w:val="24"/>
        </w:rPr>
        <w:t>证金</w:t>
      </w:r>
      <w:r>
        <w:rPr>
          <w:rFonts w:hint="eastAsia" w:ascii="宋体" w:hAnsi="宋体" w:cs="Arial"/>
          <w:sz w:val="24"/>
        </w:rPr>
        <w:t>不予退</w:t>
      </w:r>
      <w:r>
        <w:rPr>
          <w:rFonts w:ascii="宋体" w:hAnsi="宋体" w:cs="Arial"/>
          <w:sz w:val="24"/>
        </w:rPr>
        <w:t>还</w:t>
      </w:r>
      <w:r>
        <w:rPr>
          <w:rFonts w:hint="eastAsia" w:ascii="宋体" w:hAnsi="宋体" w:cs="Arial"/>
          <w:sz w:val="24"/>
        </w:rPr>
        <w:t>外，</w:t>
      </w:r>
      <w:r>
        <w:rPr>
          <w:rFonts w:ascii="宋体" w:hAnsi="宋体" w:cs="Arial"/>
          <w:sz w:val="24"/>
        </w:rPr>
        <w:t>还须</w:t>
      </w:r>
      <w:r>
        <w:rPr>
          <w:rFonts w:hint="eastAsia" w:ascii="宋体" w:hAnsi="宋体" w:cs="Arial"/>
          <w:sz w:val="24"/>
        </w:rPr>
        <w:t>承</w:t>
      </w:r>
      <w:r>
        <w:rPr>
          <w:rFonts w:ascii="宋体" w:hAnsi="宋体" w:cs="Arial"/>
          <w:sz w:val="24"/>
        </w:rPr>
        <w:t>担</w:t>
      </w:r>
      <w:r>
        <w:rPr>
          <w:rFonts w:hint="eastAsia" w:ascii="宋体" w:hAnsi="宋体" w:cs="Arial"/>
          <w:sz w:val="24"/>
        </w:rPr>
        <w:t>相</w:t>
      </w:r>
      <w:r>
        <w:rPr>
          <w:rFonts w:ascii="宋体" w:hAnsi="宋体" w:cs="Arial"/>
          <w:sz w:val="24"/>
        </w:rPr>
        <w:t>应</w:t>
      </w:r>
      <w:r>
        <w:rPr>
          <w:rFonts w:hint="eastAsia" w:ascii="宋体" w:hAnsi="宋体" w:cs="Arial"/>
          <w:sz w:val="24"/>
        </w:rPr>
        <w:t>法律</w:t>
      </w:r>
      <w:r>
        <w:rPr>
          <w:rFonts w:ascii="宋体" w:hAnsi="宋体" w:cs="Arial"/>
          <w:sz w:val="24"/>
        </w:rPr>
        <w:t>责</w:t>
      </w:r>
      <w:r>
        <w:rPr>
          <w:rFonts w:hint="eastAsia" w:ascii="宋体" w:hAnsi="宋体" w:cs="Arial"/>
          <w:sz w:val="24"/>
        </w:rPr>
        <w:t>任；</w:t>
      </w:r>
    </w:p>
    <w:p>
      <w:pPr>
        <w:spacing w:line="500" w:lineRule="exact"/>
        <w:ind w:firstLine="480" w:firstLineChars="200"/>
        <w:rPr>
          <w:rFonts w:ascii="宋体" w:hAnsi="宋体"/>
          <w:sz w:val="24"/>
        </w:rPr>
      </w:pPr>
      <w:r>
        <w:rPr>
          <w:rFonts w:hint="eastAsia" w:ascii="宋体" w:hAnsi="宋体"/>
          <w:sz w:val="24"/>
        </w:rPr>
        <w:t>(2) 投标人在规定的投标有效期内撤销或修改其投标文件；</w:t>
      </w:r>
    </w:p>
    <w:p>
      <w:pPr>
        <w:spacing w:line="500" w:lineRule="exact"/>
        <w:ind w:firstLine="480" w:firstLineChars="200"/>
        <w:rPr>
          <w:rFonts w:ascii="宋体" w:hAnsi="宋体"/>
          <w:sz w:val="24"/>
        </w:rPr>
      </w:pPr>
      <w:r>
        <w:rPr>
          <w:rFonts w:hint="eastAsia" w:ascii="宋体" w:hAnsi="宋体"/>
          <w:sz w:val="24"/>
        </w:rPr>
        <w:t>(3) 中标候选人除不可抗力外，放弃中标候选资格的；</w:t>
      </w:r>
    </w:p>
    <w:p>
      <w:pPr>
        <w:spacing w:line="500" w:lineRule="exact"/>
        <w:ind w:firstLine="480" w:firstLineChars="200"/>
        <w:rPr>
          <w:rFonts w:ascii="宋体" w:hAnsi="宋体"/>
          <w:sz w:val="24"/>
        </w:rPr>
      </w:pPr>
      <w:r>
        <w:rPr>
          <w:rFonts w:hint="eastAsia" w:ascii="宋体" w:hAnsi="宋体"/>
          <w:sz w:val="24"/>
        </w:rPr>
        <w:t>(4) 中标人在收到中标通知书后，无正当理由拒签合同协议书；</w:t>
      </w:r>
    </w:p>
    <w:p>
      <w:pPr>
        <w:spacing w:line="500" w:lineRule="exact"/>
        <w:ind w:firstLine="480" w:firstLineChars="200"/>
        <w:rPr>
          <w:rFonts w:ascii="宋体" w:hAnsi="宋体"/>
          <w:sz w:val="24"/>
        </w:rPr>
      </w:pPr>
      <w:r>
        <w:rPr>
          <w:rFonts w:hint="eastAsia" w:ascii="宋体" w:hAnsi="宋体"/>
          <w:sz w:val="24"/>
        </w:rPr>
        <w:t>(5)</w:t>
      </w:r>
      <w:r>
        <w:rPr>
          <w:rFonts w:hint="eastAsia" w:ascii="宋体" w:hAnsi="宋体" w:cs="Arial"/>
          <w:sz w:val="24"/>
        </w:rPr>
        <w:t xml:space="preserve"> 投</w:t>
      </w:r>
      <w:r>
        <w:rPr>
          <w:rFonts w:ascii="宋体" w:hAnsi="宋体" w:cs="Arial"/>
          <w:sz w:val="24"/>
        </w:rPr>
        <w:t>标</w:t>
      </w:r>
      <w:r>
        <w:rPr>
          <w:rFonts w:hint="eastAsia" w:ascii="宋体" w:hAnsi="宋体" w:cs="Arial"/>
          <w:sz w:val="24"/>
        </w:rPr>
        <w:t>人不遵守招</w:t>
      </w:r>
      <w:r>
        <w:rPr>
          <w:rFonts w:ascii="宋体" w:hAnsi="宋体" w:cs="Arial"/>
          <w:sz w:val="24"/>
        </w:rPr>
        <w:t>标纪</w:t>
      </w:r>
      <w:r>
        <w:rPr>
          <w:rFonts w:hint="eastAsia" w:ascii="宋体" w:hAnsi="宋体" w:cs="Arial"/>
          <w:sz w:val="24"/>
        </w:rPr>
        <w:t>律，</w:t>
      </w:r>
      <w:r>
        <w:rPr>
          <w:rFonts w:ascii="宋体" w:hAnsi="宋体" w:cs="Arial"/>
          <w:sz w:val="24"/>
        </w:rPr>
        <w:t>经劝</w:t>
      </w:r>
      <w:r>
        <w:rPr>
          <w:rFonts w:hint="eastAsia" w:ascii="宋体" w:hAnsi="宋体" w:cs="Arial"/>
          <w:sz w:val="24"/>
        </w:rPr>
        <w:t>告</w:t>
      </w:r>
      <w:r>
        <w:rPr>
          <w:rFonts w:ascii="宋体" w:hAnsi="宋体" w:cs="Arial"/>
          <w:sz w:val="24"/>
        </w:rPr>
        <w:t>无</w:t>
      </w:r>
      <w:r>
        <w:rPr>
          <w:rFonts w:hint="eastAsia" w:ascii="宋体" w:hAnsi="宋体" w:cs="Arial"/>
          <w:sz w:val="24"/>
        </w:rPr>
        <w:t>效的；</w:t>
      </w:r>
    </w:p>
    <w:p>
      <w:pPr>
        <w:spacing w:line="500" w:lineRule="exact"/>
        <w:ind w:firstLine="482" w:firstLineChars="200"/>
        <w:rPr>
          <w:rFonts w:ascii="宋体" w:hAnsi="宋体"/>
          <w:b/>
          <w:bCs/>
          <w:sz w:val="24"/>
        </w:rPr>
      </w:pPr>
      <w:r>
        <w:rPr>
          <w:rFonts w:hint="eastAsia" w:ascii="宋体" w:hAnsi="宋体"/>
          <w:b/>
          <w:bCs/>
          <w:sz w:val="24"/>
        </w:rPr>
        <w:t>(6) 投标人放弃投标，未在投标截止时间5日前通知投标人、招标代理机构的；</w:t>
      </w:r>
    </w:p>
    <w:p>
      <w:pPr>
        <w:spacing w:line="500" w:lineRule="exact"/>
        <w:ind w:firstLine="482" w:firstLineChars="200"/>
        <w:rPr>
          <w:rFonts w:ascii="宋体" w:hAnsi="宋体"/>
          <w:b/>
          <w:bCs/>
          <w:sz w:val="24"/>
        </w:rPr>
      </w:pPr>
      <w:r>
        <w:rPr>
          <w:rFonts w:hint="eastAsia" w:ascii="宋体" w:hAnsi="宋体"/>
          <w:b/>
          <w:bCs/>
          <w:sz w:val="24"/>
        </w:rPr>
        <w:t>(7) 经查实不是从投标人基本户转入的；</w:t>
      </w:r>
    </w:p>
    <w:p>
      <w:pPr>
        <w:spacing w:line="500" w:lineRule="exact"/>
        <w:ind w:firstLine="480" w:firstLineChars="200"/>
        <w:rPr>
          <w:rFonts w:ascii="宋体" w:hAnsi="宋体"/>
          <w:sz w:val="24"/>
        </w:rPr>
      </w:pPr>
      <w:r>
        <w:rPr>
          <w:rFonts w:hint="eastAsia" w:ascii="宋体" w:hAnsi="宋体"/>
          <w:sz w:val="24"/>
        </w:rPr>
        <w:t>(8) 依照相关法律、法规规定应没收其投标保证金的。</w:t>
      </w:r>
    </w:p>
    <w:p>
      <w:pPr>
        <w:spacing w:line="500" w:lineRule="exact"/>
        <w:rPr>
          <w:rFonts w:ascii="宋体" w:hAnsi="宋体"/>
          <w:b/>
          <w:bCs/>
          <w:sz w:val="24"/>
        </w:rPr>
      </w:pPr>
      <w:r>
        <w:rPr>
          <w:rFonts w:hint="eastAsia" w:ascii="宋体" w:hAnsi="宋体"/>
          <w:b/>
          <w:bCs/>
          <w:sz w:val="24"/>
        </w:rPr>
        <w:t>3.5 资格审查资料（适用于资格后审）</w:t>
      </w:r>
    </w:p>
    <w:p>
      <w:pPr>
        <w:spacing w:line="500" w:lineRule="exact"/>
        <w:ind w:firstLine="480" w:firstLineChars="200"/>
        <w:rPr>
          <w:rFonts w:ascii="宋体" w:hAnsi="宋体"/>
          <w:sz w:val="24"/>
        </w:rPr>
      </w:pPr>
      <w:r>
        <w:rPr>
          <w:rFonts w:hint="eastAsia" w:ascii="宋体" w:hAnsi="宋体"/>
          <w:sz w:val="24"/>
        </w:rPr>
        <w:t>详见第五章评标办法。</w:t>
      </w:r>
    </w:p>
    <w:p>
      <w:pPr>
        <w:spacing w:line="500" w:lineRule="exact"/>
        <w:rPr>
          <w:rFonts w:ascii="宋体" w:hAnsi="宋体"/>
          <w:b/>
          <w:sz w:val="24"/>
        </w:rPr>
      </w:pPr>
      <w:r>
        <w:rPr>
          <w:rFonts w:hint="eastAsia" w:ascii="宋体" w:hAnsi="宋体"/>
          <w:b/>
          <w:sz w:val="24"/>
        </w:rPr>
        <w:t>3.6 备选投标方案</w:t>
      </w:r>
    </w:p>
    <w:p>
      <w:pPr>
        <w:spacing w:line="500" w:lineRule="exact"/>
        <w:ind w:firstLine="480" w:firstLineChars="200"/>
        <w:rPr>
          <w:rFonts w:ascii="宋体" w:hAnsi="宋体"/>
          <w:sz w:val="24"/>
        </w:rPr>
      </w:pPr>
      <w:r>
        <w:rPr>
          <w:rFonts w:hint="eastAsia" w:ascii="宋体" w:hAnsi="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rPr>
          <w:rFonts w:ascii="宋体" w:hAnsi="宋体"/>
          <w:b/>
          <w:sz w:val="24"/>
        </w:rPr>
      </w:pPr>
      <w:r>
        <w:rPr>
          <w:rFonts w:hint="eastAsia" w:ascii="宋体" w:hAnsi="宋体"/>
          <w:b/>
          <w:sz w:val="24"/>
        </w:rPr>
        <w:t>3.7 投标文件的编制</w:t>
      </w:r>
    </w:p>
    <w:p>
      <w:pPr>
        <w:spacing w:line="500" w:lineRule="exact"/>
        <w:ind w:firstLine="480" w:firstLineChars="200"/>
        <w:rPr>
          <w:rFonts w:ascii="宋体" w:hAnsi="宋体"/>
          <w:b/>
          <w:sz w:val="24"/>
        </w:rPr>
      </w:pPr>
      <w:r>
        <w:rPr>
          <w:rFonts w:hint="eastAsia" w:ascii="宋体" w:hAnsi="宋体"/>
          <w:sz w:val="24"/>
        </w:rPr>
        <w:t>3.7.1 投标人须</w:t>
      </w:r>
      <w:r>
        <w:rPr>
          <w:rFonts w:hint="eastAsia" w:ascii="宋体" w:hAnsi="宋体"/>
          <w:b/>
          <w:sz w:val="24"/>
        </w:rPr>
        <w:t>分别编制商务标、技术标。</w:t>
      </w:r>
    </w:p>
    <w:p>
      <w:pPr>
        <w:spacing w:line="500" w:lineRule="exact"/>
        <w:ind w:firstLine="523" w:firstLineChars="218"/>
        <w:rPr>
          <w:rFonts w:ascii="宋体" w:hAnsi="宋体"/>
          <w:snapToGrid w:val="0"/>
          <w:kern w:val="0"/>
          <w:sz w:val="24"/>
        </w:rPr>
      </w:pPr>
      <w:r>
        <w:rPr>
          <w:rFonts w:hint="eastAsia" w:ascii="宋体" w:hAnsi="宋体"/>
          <w:sz w:val="24"/>
        </w:rPr>
        <w:t>3.7.2 投标文件应按第六章“投标文件格式”进行编制，</w:t>
      </w:r>
      <w:r>
        <w:rPr>
          <w:rFonts w:hint="eastAsia" w:ascii="宋体" w:hAnsi="宋体"/>
          <w:snapToGrid w:val="0"/>
          <w:kern w:val="0"/>
          <w:sz w:val="24"/>
        </w:rPr>
        <w:t>填写投标函、开标一览表、分项报价表及</w:t>
      </w:r>
      <w:r>
        <w:rPr>
          <w:rFonts w:hint="eastAsia" w:ascii="宋体" w:hAnsi="宋体"/>
          <w:sz w:val="24"/>
        </w:rPr>
        <w:t>商务条款偏离表</w:t>
      </w:r>
      <w:r>
        <w:rPr>
          <w:rFonts w:hint="eastAsia" w:ascii="宋体" w:hAnsi="宋体"/>
          <w:snapToGrid w:val="0"/>
          <w:kern w:val="0"/>
          <w:sz w:val="24"/>
        </w:rPr>
        <w:t>，注明提供的货物名称、型号、货物简介（彩页）、原产地、数量和价格等。</w:t>
      </w:r>
    </w:p>
    <w:p>
      <w:pPr>
        <w:spacing w:line="500" w:lineRule="exact"/>
        <w:ind w:firstLine="480"/>
        <w:rPr>
          <w:rFonts w:ascii="宋体" w:hAnsi="宋体"/>
          <w:snapToGrid w:val="0"/>
          <w:kern w:val="0"/>
          <w:sz w:val="24"/>
        </w:rPr>
      </w:pPr>
      <w:r>
        <w:rPr>
          <w:rFonts w:hint="eastAsia" w:ascii="宋体" w:hAnsi="宋体"/>
          <w:snapToGrid w:val="0"/>
          <w:kern w:val="0"/>
          <w:sz w:val="24"/>
        </w:rPr>
        <w:t>3.7.3投标内容规定见招标文件。</w:t>
      </w:r>
    </w:p>
    <w:p>
      <w:pPr>
        <w:spacing w:line="500" w:lineRule="exact"/>
        <w:ind w:firstLine="480"/>
        <w:rPr>
          <w:rFonts w:ascii="宋体" w:hAnsi="宋体"/>
          <w:b/>
          <w:bCs/>
          <w:snapToGrid w:val="0"/>
          <w:kern w:val="0"/>
          <w:sz w:val="24"/>
        </w:rPr>
      </w:pPr>
      <w:r>
        <w:rPr>
          <w:rFonts w:hint="eastAsia" w:ascii="宋体" w:hAnsi="宋体"/>
          <w:b/>
          <w:bCs/>
          <w:sz w:val="24"/>
        </w:rPr>
        <w:t>投标文件应当对招标文件有关项目完成期、投标有效期、招标内容和要求等实质性内容作出响应。</w:t>
      </w:r>
    </w:p>
    <w:p>
      <w:pPr>
        <w:spacing w:line="500" w:lineRule="exact"/>
        <w:ind w:firstLine="480" w:firstLineChars="200"/>
        <w:rPr>
          <w:rFonts w:ascii="宋体" w:hAnsi="宋体"/>
          <w:sz w:val="24"/>
        </w:rPr>
      </w:pPr>
      <w:r>
        <w:rPr>
          <w:rFonts w:hint="eastAsia" w:ascii="宋体" w:hAnsi="宋体"/>
          <w:sz w:val="24"/>
        </w:rPr>
        <w:t>如有必要，可以增加附页，作为投标文件的组成部分。</w:t>
      </w:r>
    </w:p>
    <w:p>
      <w:pPr>
        <w:spacing w:line="500" w:lineRule="exact"/>
        <w:ind w:firstLine="470" w:firstLineChars="196"/>
        <w:rPr>
          <w:rFonts w:ascii="宋体" w:hAnsi="宋体"/>
          <w:snapToGrid w:val="0"/>
          <w:kern w:val="0"/>
          <w:sz w:val="18"/>
          <w:szCs w:val="18"/>
        </w:rPr>
      </w:pPr>
      <w:r>
        <w:rPr>
          <w:rFonts w:hint="eastAsia" w:ascii="宋体" w:hAnsi="宋体"/>
          <w:snapToGrid w:val="0"/>
          <w:kern w:val="0"/>
          <w:sz w:val="24"/>
        </w:rPr>
        <w:t>3.7.4投标货物和服务符合招标文件规定的证明文件</w:t>
      </w:r>
    </w:p>
    <w:p>
      <w:pPr>
        <w:spacing w:line="500" w:lineRule="exact"/>
        <w:rPr>
          <w:rFonts w:ascii="宋体" w:hAnsi="宋体"/>
          <w:snapToGrid w:val="0"/>
          <w:kern w:val="0"/>
          <w:sz w:val="24"/>
        </w:rPr>
      </w:pPr>
      <w:r>
        <w:rPr>
          <w:rFonts w:hint="eastAsia" w:ascii="宋体" w:hAnsi="宋体"/>
          <w:snapToGrid w:val="0"/>
          <w:kern w:val="0"/>
          <w:sz w:val="24"/>
        </w:rPr>
        <w:t xml:space="preserve">    3.7.4</w:t>
      </w:r>
      <w:r>
        <w:rPr>
          <w:rFonts w:ascii="宋体" w:hAnsi="宋体"/>
          <w:snapToGrid w:val="0"/>
          <w:kern w:val="0"/>
          <w:sz w:val="24"/>
        </w:rPr>
        <w:t>.</w:t>
      </w:r>
      <w:r>
        <w:rPr>
          <w:rFonts w:hint="eastAsia" w:ascii="宋体" w:hAnsi="宋体"/>
          <w:snapToGrid w:val="0"/>
          <w:kern w:val="0"/>
          <w:sz w:val="24"/>
        </w:rPr>
        <w:t>1投标人须提交证明文件证明其拟供货物和服务符合招标文件的规定，作为投标文件的一部分。</w:t>
      </w:r>
    </w:p>
    <w:p>
      <w:pPr>
        <w:spacing w:line="500" w:lineRule="exact"/>
        <w:rPr>
          <w:rFonts w:ascii="宋体" w:hAnsi="宋体"/>
          <w:snapToGrid w:val="0"/>
          <w:kern w:val="0"/>
          <w:sz w:val="24"/>
        </w:rPr>
      </w:pPr>
      <w:r>
        <w:rPr>
          <w:rFonts w:hint="eastAsia" w:ascii="宋体" w:hAnsi="宋体"/>
          <w:snapToGrid w:val="0"/>
          <w:kern w:val="0"/>
          <w:sz w:val="24"/>
        </w:rPr>
        <w:t xml:space="preserve">    3.7.4</w:t>
      </w:r>
      <w:r>
        <w:rPr>
          <w:rFonts w:ascii="宋体" w:hAnsi="宋体"/>
          <w:snapToGrid w:val="0"/>
          <w:kern w:val="0"/>
          <w:sz w:val="24"/>
        </w:rPr>
        <w:t>.</w:t>
      </w:r>
      <w:r>
        <w:rPr>
          <w:rFonts w:hint="eastAsia" w:ascii="宋体" w:hAnsi="宋体"/>
          <w:snapToGrid w:val="0"/>
          <w:kern w:val="0"/>
          <w:sz w:val="24"/>
        </w:rPr>
        <w:t>2上述文件可以是文字资料、图纸和数据，并须提供：</w:t>
      </w:r>
    </w:p>
    <w:p>
      <w:pPr>
        <w:spacing w:line="500" w:lineRule="exact"/>
        <w:rPr>
          <w:rFonts w:ascii="宋体" w:hAnsi="宋体"/>
          <w:snapToGrid w:val="0"/>
          <w:kern w:val="0"/>
          <w:sz w:val="24"/>
        </w:rPr>
      </w:pPr>
      <w:r>
        <w:rPr>
          <w:rFonts w:hint="eastAsia" w:ascii="宋体" w:hAnsi="宋体"/>
          <w:snapToGrid w:val="0"/>
          <w:kern w:val="0"/>
          <w:sz w:val="24"/>
        </w:rPr>
        <w:t xml:space="preserve">    （1）货物主要技术性能的详细描述；</w:t>
      </w:r>
    </w:p>
    <w:p>
      <w:pPr>
        <w:spacing w:line="500" w:lineRule="exact"/>
        <w:rPr>
          <w:rFonts w:ascii="宋体" w:hAnsi="宋体"/>
          <w:snapToGrid w:val="0"/>
          <w:kern w:val="0"/>
          <w:sz w:val="24"/>
        </w:rPr>
      </w:pPr>
      <w:r>
        <w:rPr>
          <w:rFonts w:hint="eastAsia" w:ascii="宋体" w:hAnsi="宋体"/>
          <w:snapToGrid w:val="0"/>
          <w:kern w:val="0"/>
          <w:sz w:val="24"/>
        </w:rPr>
        <w:t xml:space="preserve">    （2）在技术规格标准中规定的应由投标人提供的产品、标准附件和保证货物正常和连续运转期间所需要的备品备件和专用工具的详细清单，包括其价格和供货来源资料；</w:t>
      </w:r>
    </w:p>
    <w:p>
      <w:pPr>
        <w:spacing w:line="500" w:lineRule="exact"/>
        <w:ind w:firstLine="480" w:firstLineChars="200"/>
        <w:rPr>
          <w:rFonts w:ascii="宋体" w:hAnsi="宋体"/>
          <w:snapToGrid w:val="0"/>
          <w:kern w:val="0"/>
          <w:sz w:val="24"/>
        </w:rPr>
      </w:pPr>
      <w:r>
        <w:rPr>
          <w:rFonts w:hint="eastAsia" w:ascii="宋体" w:hAnsi="宋体"/>
          <w:snapToGrid w:val="0"/>
          <w:kern w:val="0"/>
          <w:sz w:val="24"/>
        </w:rPr>
        <w:t>（3）技术指标响应表；</w:t>
      </w:r>
    </w:p>
    <w:p>
      <w:pPr>
        <w:spacing w:line="500" w:lineRule="exact"/>
        <w:rPr>
          <w:rFonts w:ascii="宋体" w:hAnsi="宋体"/>
          <w:snapToGrid w:val="0"/>
          <w:kern w:val="0"/>
          <w:sz w:val="24"/>
        </w:rPr>
      </w:pPr>
      <w:r>
        <w:rPr>
          <w:rFonts w:hint="eastAsia" w:ascii="宋体" w:hAnsi="宋体"/>
          <w:snapToGrid w:val="0"/>
          <w:kern w:val="0"/>
          <w:sz w:val="24"/>
        </w:rPr>
        <w:t xml:space="preserve">    （4）商务条款偏离表。</w:t>
      </w:r>
    </w:p>
    <w:p>
      <w:pPr>
        <w:spacing w:line="500" w:lineRule="exact"/>
        <w:rPr>
          <w:rFonts w:ascii="宋体" w:hAnsi="宋体"/>
          <w:snapToGrid w:val="0"/>
          <w:kern w:val="0"/>
          <w:sz w:val="24"/>
        </w:rPr>
      </w:pPr>
      <w:r>
        <w:rPr>
          <w:rFonts w:hint="eastAsia" w:ascii="宋体" w:hAnsi="宋体"/>
          <w:snapToGrid w:val="0"/>
          <w:kern w:val="0"/>
          <w:sz w:val="24"/>
        </w:rPr>
        <w:t xml:space="preserve">    3.7.4</w:t>
      </w:r>
      <w:r>
        <w:rPr>
          <w:rFonts w:ascii="宋体" w:hAnsi="宋体"/>
          <w:snapToGrid w:val="0"/>
          <w:kern w:val="0"/>
          <w:sz w:val="24"/>
        </w:rPr>
        <w:t>.</w:t>
      </w:r>
      <w:r>
        <w:rPr>
          <w:rFonts w:hint="eastAsia" w:ascii="宋体" w:hAnsi="宋体"/>
          <w:snapToGrid w:val="0"/>
          <w:kern w:val="0"/>
          <w:sz w:val="24"/>
        </w:rPr>
        <w:t>3本招标文件的技术规格标准中所指出的设计、工艺、材料和设备的标准、商标或样本目录号码的参考资料仅系说明并非进行限制。投标人可提出改进设计、替代标准、商标或样本目录号码，但该替代应相当于或优于技术规格标准的规定，以使招标人满意。并在技术规格偏离表中列出。</w:t>
      </w:r>
    </w:p>
    <w:p>
      <w:pPr>
        <w:spacing w:line="500" w:lineRule="exact"/>
        <w:ind w:firstLine="470" w:firstLineChars="196"/>
        <w:rPr>
          <w:rFonts w:ascii="宋体" w:hAnsi="宋体"/>
          <w:snapToGrid w:val="0"/>
          <w:kern w:val="0"/>
          <w:sz w:val="24"/>
        </w:rPr>
      </w:pPr>
      <w:r>
        <w:rPr>
          <w:rFonts w:hint="eastAsia" w:ascii="宋体" w:hAnsi="宋体"/>
          <w:snapToGrid w:val="0"/>
          <w:kern w:val="0"/>
          <w:sz w:val="24"/>
        </w:rPr>
        <w:t>3.7.5 投标人资格的证明文件</w:t>
      </w:r>
    </w:p>
    <w:p>
      <w:pPr>
        <w:spacing w:line="500" w:lineRule="exact"/>
        <w:rPr>
          <w:rFonts w:ascii="宋体" w:hAnsi="宋体"/>
          <w:snapToGrid w:val="0"/>
          <w:kern w:val="0"/>
          <w:sz w:val="24"/>
        </w:rPr>
      </w:pPr>
      <w:r>
        <w:rPr>
          <w:rFonts w:hint="eastAsia" w:ascii="宋体" w:hAnsi="宋体"/>
          <w:snapToGrid w:val="0"/>
          <w:kern w:val="0"/>
          <w:sz w:val="24"/>
        </w:rPr>
        <w:t xml:space="preserve">    3.7.5</w:t>
      </w:r>
      <w:r>
        <w:rPr>
          <w:rFonts w:ascii="宋体" w:hAnsi="宋体"/>
          <w:snapToGrid w:val="0"/>
          <w:kern w:val="0"/>
          <w:sz w:val="24"/>
        </w:rPr>
        <w:t>.</w:t>
      </w:r>
      <w:r>
        <w:rPr>
          <w:rFonts w:hint="eastAsia" w:ascii="宋体" w:hAnsi="宋体"/>
          <w:snapToGrid w:val="0"/>
          <w:kern w:val="0"/>
          <w:sz w:val="24"/>
        </w:rPr>
        <w:t>1投标人必须提交证明其有资格进行投标和中标后有能力履行合同的文件，作为投标文件的一部分。</w:t>
      </w:r>
    </w:p>
    <w:p>
      <w:pPr>
        <w:spacing w:line="500" w:lineRule="exact"/>
        <w:rPr>
          <w:rFonts w:ascii="宋体" w:hAnsi="宋体"/>
          <w:snapToGrid w:val="0"/>
          <w:kern w:val="0"/>
          <w:sz w:val="24"/>
        </w:rPr>
      </w:pPr>
      <w:r>
        <w:rPr>
          <w:rFonts w:hint="eastAsia" w:ascii="宋体" w:hAnsi="宋体"/>
          <w:snapToGrid w:val="0"/>
          <w:kern w:val="0"/>
          <w:sz w:val="24"/>
        </w:rPr>
        <w:t xml:space="preserve">    （1）投标人须具有法人资格，投标文件须提供</w:t>
      </w:r>
      <w:r>
        <w:rPr>
          <w:rFonts w:hint="eastAsia" w:ascii="宋体" w:hAnsi="宋体"/>
          <w:sz w:val="24"/>
        </w:rPr>
        <w:t>法人代表资格证明书、法人授权委托书原件。</w:t>
      </w:r>
    </w:p>
    <w:p>
      <w:pPr>
        <w:spacing w:line="500" w:lineRule="exact"/>
        <w:ind w:firstLine="480" w:firstLineChars="200"/>
        <w:rPr>
          <w:rFonts w:ascii="宋体" w:hAnsi="宋体"/>
          <w:snapToGrid w:val="0"/>
          <w:kern w:val="0"/>
          <w:sz w:val="24"/>
        </w:rPr>
      </w:pPr>
      <w:r>
        <w:rPr>
          <w:rFonts w:hint="eastAsia" w:ascii="宋体" w:hAnsi="宋体"/>
          <w:snapToGrid w:val="0"/>
          <w:kern w:val="0"/>
          <w:sz w:val="24"/>
        </w:rPr>
        <w:t>（2）投标人生产、销售或服务范围必须得到有关行政主管部门的准许。</w:t>
      </w:r>
    </w:p>
    <w:p>
      <w:pPr>
        <w:spacing w:line="500" w:lineRule="exact"/>
        <w:rPr>
          <w:rFonts w:ascii="宋体" w:hAnsi="宋体"/>
          <w:snapToGrid w:val="0"/>
          <w:kern w:val="0"/>
          <w:sz w:val="24"/>
        </w:rPr>
      </w:pPr>
      <w:r>
        <w:rPr>
          <w:rFonts w:hint="eastAsia" w:ascii="宋体" w:hAnsi="宋体"/>
          <w:snapToGrid w:val="0"/>
          <w:kern w:val="0"/>
          <w:sz w:val="24"/>
        </w:rPr>
        <w:t xml:space="preserve">    （3）投标人具有履行合同所需的财务、技术和生产能力。</w:t>
      </w:r>
    </w:p>
    <w:p>
      <w:pPr>
        <w:spacing w:line="500" w:lineRule="exact"/>
        <w:rPr>
          <w:rFonts w:ascii="宋体" w:hAnsi="宋体"/>
          <w:snapToGrid w:val="0"/>
          <w:kern w:val="0"/>
          <w:sz w:val="24"/>
        </w:rPr>
      </w:pPr>
      <w:r>
        <w:rPr>
          <w:rFonts w:hint="eastAsia" w:ascii="宋体" w:hAnsi="宋体"/>
          <w:snapToGrid w:val="0"/>
          <w:kern w:val="0"/>
          <w:sz w:val="24"/>
        </w:rPr>
        <w:t xml:space="preserve">    （4）投标人应有能力履行招标文件中合同条款和技术要求规定的由投标人履行的保养、修理、供应备件和其它技术服务的义务。</w:t>
      </w:r>
    </w:p>
    <w:p>
      <w:pPr>
        <w:spacing w:line="500" w:lineRule="exact"/>
        <w:ind w:firstLine="480" w:firstLineChars="200"/>
        <w:rPr>
          <w:rFonts w:ascii="宋体" w:hAnsi="宋体"/>
          <w:sz w:val="24"/>
        </w:rPr>
      </w:pPr>
      <w:r>
        <w:rPr>
          <w:rFonts w:hint="eastAsia" w:ascii="宋体" w:hAnsi="宋体"/>
          <w:sz w:val="24"/>
        </w:rPr>
        <w:t>3.7.6 投标文件应用不褪色的材料书写或打印，并按招标文件规定的格式由投标人的法定代表人或其委托代理人签字或盖单位章。委托代理人签字的，投标文件应附法定代表人签署的授权委托书（原件）。投标文件</w:t>
      </w:r>
      <w:r>
        <w:rPr>
          <w:rFonts w:hint="eastAsia" w:ascii="宋体" w:hAnsi="宋体" w:cs="宋体"/>
          <w:sz w:val="24"/>
        </w:rPr>
        <w:t>字迹应清晰易于辨认，</w:t>
      </w:r>
      <w:r>
        <w:rPr>
          <w:rFonts w:hint="eastAsia" w:ascii="宋体" w:hAnsi="宋体"/>
          <w:sz w:val="24"/>
        </w:rPr>
        <w:t>不得进行涂改、行间插字或删除；必须胶装成册，不得用活页装订，不得混装，不得插页或粘贴。如果出现上述情况，投标文件不予评审，作无效标处理。</w:t>
      </w:r>
    </w:p>
    <w:p>
      <w:pPr>
        <w:spacing w:line="500" w:lineRule="exact"/>
        <w:ind w:firstLine="480" w:firstLineChars="200"/>
        <w:rPr>
          <w:rFonts w:ascii="宋体" w:hAnsi="宋体"/>
          <w:sz w:val="24"/>
        </w:rPr>
      </w:pPr>
      <w:r>
        <w:rPr>
          <w:rFonts w:hint="eastAsia" w:ascii="宋体" w:hAnsi="宋体"/>
          <w:sz w:val="24"/>
        </w:rPr>
        <w:t>3.7.7 投标文件电子版要求见投标人须知前附表。</w:t>
      </w:r>
    </w:p>
    <w:p>
      <w:pPr>
        <w:spacing w:line="500" w:lineRule="exact"/>
        <w:ind w:firstLine="480" w:firstLineChars="200"/>
        <w:rPr>
          <w:rFonts w:ascii="宋体" w:hAnsi="宋体"/>
          <w:sz w:val="24"/>
        </w:rPr>
      </w:pPr>
      <w:r>
        <w:rPr>
          <w:rFonts w:hint="eastAsia" w:ascii="宋体" w:hAnsi="宋体"/>
          <w:sz w:val="24"/>
        </w:rPr>
        <w:t>3.7.8 投标文件份数见投标人须知前附表。</w:t>
      </w:r>
    </w:p>
    <w:p>
      <w:pPr>
        <w:spacing w:line="500" w:lineRule="exact"/>
        <w:ind w:firstLine="480" w:firstLineChars="200"/>
        <w:rPr>
          <w:rFonts w:ascii="宋体" w:hAnsi="宋体"/>
          <w:sz w:val="24"/>
        </w:rPr>
      </w:pPr>
      <w:r>
        <w:rPr>
          <w:rFonts w:hint="eastAsia" w:ascii="宋体" w:hAnsi="宋体"/>
          <w:sz w:val="24"/>
        </w:rPr>
        <w:t>3.7.9 投标文件的正本与副本应分别胶装成册，并编制目录和页码。</w:t>
      </w:r>
      <w:r>
        <w:rPr>
          <w:rFonts w:hint="eastAsia" w:ascii="宋体" w:hAnsi="宋体"/>
          <w:kern w:val="0"/>
          <w:sz w:val="24"/>
        </w:rPr>
        <w:t>投标文件封面的右上角应清楚地注明“正本”或“副本”，</w:t>
      </w:r>
      <w:r>
        <w:rPr>
          <w:rFonts w:hint="eastAsia" w:ascii="宋体" w:hAnsi="宋体"/>
          <w:sz w:val="24"/>
        </w:rPr>
        <w:t xml:space="preserve"> 正副本不一致时以纸质正本为准。</w:t>
      </w:r>
    </w:p>
    <w:p>
      <w:pPr>
        <w:spacing w:line="500" w:lineRule="exact"/>
        <w:ind w:firstLine="480" w:firstLineChars="200"/>
        <w:rPr>
          <w:rFonts w:ascii="宋体" w:hAnsi="宋体"/>
          <w:sz w:val="24"/>
        </w:rPr>
      </w:pPr>
      <w:r>
        <w:rPr>
          <w:rFonts w:hint="eastAsia" w:ascii="宋体" w:hAnsi="宋体"/>
          <w:sz w:val="24"/>
        </w:rPr>
        <w:t>3.7.10 投标文件中的所有复印件均应加盖公章且与提供备查的原件一致。</w:t>
      </w:r>
      <w:bookmarkStart w:id="23" w:name="_Toc184635074"/>
      <w:bookmarkStart w:id="24" w:name="_Toc248986342"/>
    </w:p>
    <w:p>
      <w:pPr>
        <w:spacing w:line="500" w:lineRule="exact"/>
        <w:rPr>
          <w:rFonts w:ascii="宋体" w:hAnsi="宋体"/>
          <w:b/>
          <w:sz w:val="24"/>
        </w:rPr>
      </w:pPr>
      <w:bookmarkStart w:id="25" w:name="_Toc346012955"/>
      <w:bookmarkStart w:id="26" w:name="_Toc346013355"/>
      <w:bookmarkStart w:id="27" w:name="_Toc346012812"/>
      <w:r>
        <w:rPr>
          <w:rFonts w:hint="eastAsia" w:ascii="宋体" w:hAnsi="宋体"/>
          <w:b/>
          <w:sz w:val="24"/>
        </w:rPr>
        <w:t>4．投标</w:t>
      </w:r>
      <w:bookmarkEnd w:id="23"/>
      <w:bookmarkEnd w:id="24"/>
      <w:bookmarkEnd w:id="25"/>
      <w:bookmarkEnd w:id="26"/>
      <w:bookmarkEnd w:id="27"/>
    </w:p>
    <w:p>
      <w:pPr>
        <w:spacing w:line="500" w:lineRule="exact"/>
        <w:rPr>
          <w:rFonts w:ascii="宋体" w:hAnsi="宋体"/>
          <w:b/>
          <w:sz w:val="24"/>
        </w:rPr>
      </w:pPr>
      <w:r>
        <w:rPr>
          <w:rFonts w:hint="eastAsia" w:ascii="宋体" w:hAnsi="宋体"/>
          <w:b/>
          <w:sz w:val="24"/>
        </w:rPr>
        <w:t>4.1 投标文件的密封和标记</w:t>
      </w:r>
    </w:p>
    <w:p>
      <w:pPr>
        <w:spacing w:line="500" w:lineRule="exact"/>
        <w:ind w:firstLine="480" w:firstLineChars="200"/>
        <w:rPr>
          <w:rFonts w:ascii="宋体" w:hAnsi="宋体"/>
          <w:b/>
          <w:sz w:val="24"/>
        </w:rPr>
      </w:pPr>
      <w:r>
        <w:rPr>
          <w:rFonts w:hint="eastAsia" w:ascii="宋体" w:hAnsi="宋体"/>
          <w:sz w:val="24"/>
        </w:rPr>
        <w:t xml:space="preserve">4.1.1 </w:t>
      </w:r>
      <w:r>
        <w:rPr>
          <w:rFonts w:hint="eastAsia" w:ascii="宋体" w:hAnsi="宋体"/>
          <w:b/>
          <w:sz w:val="24"/>
        </w:rPr>
        <w:t>投标文件的商务标、技术标、正本与副本应分开包装，密封完好。投标文件电子版随投标文件商务标的正本一起封装。</w:t>
      </w:r>
    </w:p>
    <w:p>
      <w:pPr>
        <w:spacing w:line="500" w:lineRule="exact"/>
        <w:ind w:firstLine="480" w:firstLineChars="200"/>
        <w:rPr>
          <w:rFonts w:ascii="宋体" w:hAnsi="宋体"/>
          <w:sz w:val="24"/>
        </w:rPr>
      </w:pPr>
      <w:r>
        <w:rPr>
          <w:rFonts w:hint="eastAsia" w:ascii="宋体" w:hAnsi="宋体"/>
          <w:sz w:val="24"/>
        </w:rPr>
        <w:t>4.1.2 投标文件的封套</w:t>
      </w:r>
      <w:r>
        <w:rPr>
          <w:rFonts w:hint="eastAsia" w:ascii="宋体" w:hAnsi="宋体" w:cs="宋体"/>
          <w:sz w:val="24"/>
        </w:rPr>
        <w:t>右上角</w:t>
      </w:r>
      <w:r>
        <w:rPr>
          <w:rFonts w:hint="eastAsia" w:ascii="宋体" w:hAnsi="宋体"/>
          <w:sz w:val="24"/>
        </w:rPr>
        <w:t>上应清楚地标记“商务标”、“技术标”、 “正本”或“副本”字样，封套上应写明的其他内容见《投标须知前附表》。</w:t>
      </w:r>
    </w:p>
    <w:p>
      <w:pPr>
        <w:spacing w:line="500" w:lineRule="exact"/>
        <w:ind w:firstLine="480" w:firstLineChars="200"/>
        <w:rPr>
          <w:rFonts w:ascii="宋体" w:hAnsi="宋体"/>
          <w:sz w:val="24"/>
        </w:rPr>
      </w:pPr>
      <w:r>
        <w:rPr>
          <w:rFonts w:hint="eastAsia" w:ascii="宋体" w:hAnsi="宋体"/>
          <w:sz w:val="24"/>
        </w:rPr>
        <w:t>4.1.3投标函、开标一览表均应加盖投标人公章并经法定代表人或其委托代理人签字或加盖法人印章。由委托代理人签字或盖章的在投标文件中须同时提交投标文件签署授权委托书。投标文件签署授权委托书格式、签字、盖章及内容均应符合招标文件要求，否则投标文件签署授权委托书无效。</w:t>
      </w:r>
    </w:p>
    <w:p>
      <w:pPr>
        <w:spacing w:line="500" w:lineRule="exact"/>
        <w:ind w:firstLine="480" w:firstLineChars="200"/>
        <w:rPr>
          <w:rFonts w:ascii="宋体" w:hAnsi="宋体"/>
          <w:sz w:val="24"/>
        </w:rPr>
      </w:pPr>
      <w:r>
        <w:rPr>
          <w:rFonts w:hint="eastAsia" w:ascii="宋体" w:hAnsi="宋体"/>
          <w:sz w:val="24"/>
        </w:rPr>
        <w:t>4.1.4未按本章第4.1条要求密封和加写标记的投标文件，招标人不予受理。</w:t>
      </w:r>
    </w:p>
    <w:p>
      <w:pPr>
        <w:spacing w:line="500" w:lineRule="exact"/>
        <w:rPr>
          <w:rFonts w:ascii="宋体" w:hAnsi="宋体"/>
          <w:b/>
          <w:sz w:val="24"/>
        </w:rPr>
      </w:pPr>
      <w:r>
        <w:rPr>
          <w:rFonts w:hint="eastAsia" w:ascii="宋体" w:hAnsi="宋体"/>
          <w:b/>
          <w:sz w:val="24"/>
        </w:rPr>
        <w:t>4.2 投标文件的递交</w:t>
      </w:r>
    </w:p>
    <w:p>
      <w:pPr>
        <w:spacing w:line="500" w:lineRule="exact"/>
        <w:ind w:firstLine="480" w:firstLineChars="200"/>
        <w:rPr>
          <w:rFonts w:ascii="宋体" w:hAnsi="宋体"/>
          <w:sz w:val="24"/>
        </w:rPr>
      </w:pPr>
      <w:r>
        <w:rPr>
          <w:rFonts w:hint="eastAsia" w:ascii="宋体" w:hAnsi="宋体"/>
          <w:sz w:val="24"/>
        </w:rPr>
        <w:t>4.2.1 投标截止时间：见投标人须知前附表。</w:t>
      </w:r>
    </w:p>
    <w:p>
      <w:pPr>
        <w:spacing w:line="500" w:lineRule="exact"/>
        <w:ind w:firstLine="480" w:firstLineChars="200"/>
        <w:rPr>
          <w:rFonts w:ascii="宋体" w:hAnsi="宋体"/>
          <w:sz w:val="24"/>
        </w:rPr>
      </w:pPr>
      <w:r>
        <w:rPr>
          <w:rFonts w:hint="eastAsia" w:ascii="宋体" w:hAnsi="宋体"/>
          <w:sz w:val="24"/>
        </w:rPr>
        <w:t xml:space="preserve">4.2.2 投标人递交投标文件的地点：见投标人须知前附表。  </w:t>
      </w:r>
    </w:p>
    <w:p>
      <w:pPr>
        <w:spacing w:line="500" w:lineRule="exact"/>
        <w:ind w:firstLine="480" w:firstLineChars="200"/>
        <w:rPr>
          <w:rFonts w:ascii="宋体" w:hAnsi="宋体"/>
          <w:sz w:val="24"/>
        </w:rPr>
      </w:pPr>
      <w:r>
        <w:rPr>
          <w:rFonts w:hint="eastAsia" w:ascii="宋体" w:hAnsi="宋体"/>
          <w:sz w:val="24"/>
        </w:rPr>
        <w:t>4.2.3 投标人递交投标文件后应由投标人授权代表在投标文件递交登记表上签字确认。</w:t>
      </w:r>
    </w:p>
    <w:p>
      <w:pPr>
        <w:spacing w:line="500" w:lineRule="exact"/>
        <w:ind w:firstLine="480" w:firstLineChars="200"/>
        <w:rPr>
          <w:rFonts w:ascii="宋体" w:hAnsi="宋体"/>
          <w:sz w:val="24"/>
        </w:rPr>
      </w:pPr>
      <w:r>
        <w:rPr>
          <w:rFonts w:hint="eastAsia" w:ascii="宋体" w:hAnsi="宋体"/>
          <w:sz w:val="24"/>
        </w:rPr>
        <w:t>4.2.4 逾期送达的或者未送达指定地点的投标文件，招标人不予受理。</w:t>
      </w:r>
    </w:p>
    <w:p>
      <w:pPr>
        <w:spacing w:line="500" w:lineRule="exact"/>
        <w:ind w:firstLine="480" w:firstLineChars="200"/>
        <w:rPr>
          <w:rFonts w:ascii="宋体" w:hAnsi="宋体"/>
          <w:sz w:val="24"/>
        </w:rPr>
      </w:pPr>
      <w:r>
        <w:rPr>
          <w:rFonts w:hint="eastAsia" w:ascii="宋体" w:hAnsi="宋体"/>
          <w:sz w:val="24"/>
        </w:rPr>
        <w:t>4.2.5 除投标人须知前附表另有规定外，投标人所递交的投标文件不予退还。</w:t>
      </w:r>
    </w:p>
    <w:p>
      <w:pPr>
        <w:spacing w:line="500" w:lineRule="exact"/>
        <w:rPr>
          <w:rFonts w:ascii="宋体" w:hAnsi="宋体"/>
          <w:b/>
          <w:sz w:val="24"/>
        </w:rPr>
      </w:pPr>
      <w:bookmarkStart w:id="28" w:name="_Toc184635075"/>
      <w:bookmarkStart w:id="29" w:name="_Toc248986343"/>
      <w:r>
        <w:rPr>
          <w:rFonts w:hint="eastAsia" w:ascii="宋体" w:hAnsi="宋体"/>
          <w:b/>
          <w:sz w:val="24"/>
        </w:rPr>
        <w:t>4.3 投标文件的修改与撤回</w:t>
      </w:r>
    </w:p>
    <w:p>
      <w:pPr>
        <w:adjustRightInd w:val="0"/>
        <w:snapToGrid w:val="0"/>
        <w:spacing w:line="500" w:lineRule="exact"/>
        <w:ind w:firstLine="499"/>
        <w:rPr>
          <w:rFonts w:ascii="宋体" w:hAnsi="宋体" w:cs="宋体"/>
          <w:sz w:val="24"/>
        </w:rPr>
      </w:pPr>
      <w:r>
        <w:rPr>
          <w:rFonts w:hint="eastAsia" w:ascii="宋体" w:hAnsi="宋体"/>
          <w:sz w:val="24"/>
        </w:rPr>
        <w:t>在本章第4.2.1 条规定的投标截止时间前，投标人可以修改或撤回已递交的投标文件，但应以书面形式通知招标人。</w:t>
      </w:r>
      <w:r>
        <w:rPr>
          <w:rFonts w:hint="eastAsia" w:ascii="宋体" w:hAnsi="宋体" w:cs="宋体"/>
          <w:sz w:val="24"/>
        </w:rPr>
        <w:t>补充、修改的内容为投标文件的组成部分。</w:t>
      </w:r>
    </w:p>
    <w:p>
      <w:pPr>
        <w:adjustRightInd w:val="0"/>
        <w:snapToGrid w:val="0"/>
        <w:spacing w:line="500" w:lineRule="exact"/>
        <w:ind w:firstLine="499"/>
        <w:rPr>
          <w:rFonts w:ascii="宋体" w:hAnsi="宋体" w:cs="宋体"/>
          <w:sz w:val="24"/>
        </w:rPr>
      </w:pPr>
      <w:r>
        <w:rPr>
          <w:rFonts w:hint="eastAsia" w:ascii="宋体" w:hAnsi="宋体" w:cs="宋体"/>
          <w:sz w:val="24"/>
        </w:rPr>
        <w:t>4.3.1 投标人对投标文件的补充、修改或撤回通知，应按本须知第4.1、4.2条有关规定密封、标记和提交，并在投标文件密封袋上清楚标明“补充、修改”或“撤回”字样。否则，补充、修改或撤回通知无效。</w:t>
      </w:r>
    </w:p>
    <w:p>
      <w:pPr>
        <w:adjustRightInd w:val="0"/>
        <w:snapToGrid w:val="0"/>
        <w:spacing w:line="500" w:lineRule="exact"/>
        <w:ind w:firstLine="499"/>
        <w:rPr>
          <w:rFonts w:ascii="宋体" w:hAnsi="宋体" w:cs="宋体"/>
          <w:sz w:val="24"/>
        </w:rPr>
      </w:pPr>
      <w:r>
        <w:rPr>
          <w:rFonts w:hint="eastAsia" w:ascii="宋体" w:hAnsi="宋体" w:cs="宋体"/>
          <w:sz w:val="24"/>
        </w:rPr>
        <w:t>4.3.2 在投标截止时间之后，投标人不得补充、修改或撤回投标文件，否则其投标保证金将不予退还。</w:t>
      </w:r>
    </w:p>
    <w:p>
      <w:pPr>
        <w:adjustRightInd w:val="0"/>
        <w:snapToGrid w:val="0"/>
        <w:spacing w:line="500" w:lineRule="exact"/>
        <w:ind w:firstLine="499"/>
        <w:rPr>
          <w:rFonts w:ascii="宋体" w:hAnsi="宋体"/>
          <w:sz w:val="24"/>
        </w:rPr>
      </w:pPr>
      <w:r>
        <w:rPr>
          <w:rFonts w:hint="eastAsia" w:ascii="宋体" w:hAnsi="宋体" w:cs="宋体"/>
          <w:sz w:val="24"/>
        </w:rPr>
        <w:t>4.3.3 在投标截止时间至投标有效期满之前，投标人不得撤回其投标文件。</w:t>
      </w:r>
    </w:p>
    <w:p>
      <w:pPr>
        <w:spacing w:line="500" w:lineRule="exact"/>
        <w:rPr>
          <w:rFonts w:ascii="宋体" w:hAnsi="宋体"/>
          <w:b/>
          <w:sz w:val="24"/>
        </w:rPr>
      </w:pPr>
      <w:bookmarkStart w:id="30" w:name="_Toc346012813"/>
      <w:bookmarkStart w:id="31" w:name="_Toc346012956"/>
      <w:bookmarkStart w:id="32" w:name="_Toc346013356"/>
      <w:r>
        <w:rPr>
          <w:rFonts w:hint="eastAsia" w:ascii="宋体" w:hAnsi="宋体"/>
          <w:b/>
          <w:sz w:val="24"/>
        </w:rPr>
        <w:t>5．开标</w:t>
      </w:r>
      <w:bookmarkEnd w:id="28"/>
      <w:bookmarkEnd w:id="29"/>
      <w:bookmarkEnd w:id="30"/>
      <w:bookmarkEnd w:id="31"/>
      <w:bookmarkEnd w:id="32"/>
    </w:p>
    <w:p>
      <w:pPr>
        <w:spacing w:line="500" w:lineRule="exact"/>
        <w:rPr>
          <w:rFonts w:ascii="宋体" w:hAnsi="宋体"/>
          <w:b/>
          <w:sz w:val="24"/>
        </w:rPr>
      </w:pPr>
      <w:r>
        <w:rPr>
          <w:rFonts w:hint="eastAsia" w:ascii="宋体" w:hAnsi="宋体"/>
          <w:b/>
          <w:sz w:val="24"/>
        </w:rPr>
        <w:t>5.1 开标时间和地点</w:t>
      </w:r>
    </w:p>
    <w:p>
      <w:pPr>
        <w:spacing w:line="500" w:lineRule="exact"/>
        <w:ind w:firstLine="480" w:firstLineChars="200"/>
        <w:rPr>
          <w:rFonts w:ascii="宋体" w:hAnsi="宋体"/>
          <w:sz w:val="24"/>
        </w:rPr>
      </w:pPr>
      <w:r>
        <w:rPr>
          <w:rFonts w:hint="eastAsia" w:ascii="宋体" w:hAnsi="宋体"/>
          <w:sz w:val="24"/>
        </w:rPr>
        <w:t>招标人应在前附表规定的时间开标，并邀请所有投标人的法定代表人或其委托代理人准时参加。投标人的法定代表人或授权委托人持本人身份证（原件）、法人身份证明文件（原件）或法人授权委托书（原件）、投标保证金银行回单（退原件，留复印件）按时到达开标现场由招标代理机构当场核验。未通过核验的，招标人拒绝其参与投标。</w:t>
      </w:r>
    </w:p>
    <w:p>
      <w:pPr>
        <w:adjustRightInd w:val="0"/>
        <w:snapToGrid w:val="0"/>
        <w:spacing w:line="500" w:lineRule="exact"/>
        <w:ind w:firstLine="499"/>
        <w:rPr>
          <w:rFonts w:ascii="宋体" w:hAnsi="宋体"/>
          <w:sz w:val="24"/>
        </w:rPr>
      </w:pPr>
      <w:r>
        <w:rPr>
          <w:rFonts w:hint="eastAsia" w:ascii="宋体" w:hAnsi="宋体"/>
          <w:kern w:val="0"/>
          <w:sz w:val="24"/>
        </w:rPr>
        <w:t>评标工作结束前，投标人未接到通知擅自离开开标现场，评标委员会对其询标等待超过20分钟的，视为投标人自动放弃投标，后果自负</w:t>
      </w:r>
      <w:r>
        <w:rPr>
          <w:rFonts w:hint="eastAsia" w:ascii="宋体" w:hAnsi="宋体"/>
          <w:sz w:val="24"/>
        </w:rPr>
        <w:t>。</w:t>
      </w:r>
    </w:p>
    <w:p>
      <w:pPr>
        <w:spacing w:line="500" w:lineRule="exact"/>
        <w:rPr>
          <w:rFonts w:ascii="宋体" w:hAnsi="宋体"/>
          <w:b/>
          <w:sz w:val="24"/>
        </w:rPr>
      </w:pPr>
      <w:r>
        <w:rPr>
          <w:rFonts w:hint="eastAsia" w:ascii="宋体" w:hAnsi="宋体"/>
          <w:b/>
          <w:sz w:val="24"/>
        </w:rPr>
        <w:t>5.2 开标程序</w:t>
      </w:r>
    </w:p>
    <w:p>
      <w:pPr>
        <w:spacing w:line="500" w:lineRule="exact"/>
        <w:ind w:firstLine="480" w:firstLineChars="200"/>
        <w:rPr>
          <w:rFonts w:ascii="宋体" w:hAnsi="宋体"/>
          <w:sz w:val="24"/>
        </w:rPr>
      </w:pPr>
      <w:r>
        <w:rPr>
          <w:rFonts w:hint="eastAsia" w:ascii="宋体" w:hAnsi="宋体"/>
          <w:sz w:val="24"/>
        </w:rPr>
        <w:t>5.2.1主持人按下列程序进行开标：</w:t>
      </w:r>
    </w:p>
    <w:p>
      <w:pPr>
        <w:spacing w:line="500" w:lineRule="exact"/>
        <w:ind w:firstLine="480" w:firstLineChars="200"/>
        <w:rPr>
          <w:rFonts w:ascii="宋体" w:hAnsi="宋体"/>
          <w:sz w:val="24"/>
        </w:rPr>
      </w:pPr>
      <w:r>
        <w:rPr>
          <w:rFonts w:hint="eastAsia" w:ascii="宋体" w:hAnsi="宋体"/>
          <w:sz w:val="24"/>
        </w:rPr>
        <w:t>(1) 主持人宣布投标截止、开标会议开始；</w:t>
      </w:r>
    </w:p>
    <w:p>
      <w:pPr>
        <w:spacing w:line="500" w:lineRule="exact"/>
        <w:ind w:firstLine="480" w:firstLineChars="200"/>
        <w:rPr>
          <w:rFonts w:ascii="宋体" w:hAnsi="宋体"/>
          <w:sz w:val="24"/>
        </w:rPr>
      </w:pPr>
      <w:r>
        <w:rPr>
          <w:rFonts w:hint="eastAsia" w:ascii="宋体" w:hAnsi="宋体"/>
          <w:sz w:val="24"/>
        </w:rPr>
        <w:t>(2) 介绍出席开标会议的招标人代表及有关人员；</w:t>
      </w:r>
    </w:p>
    <w:p>
      <w:pPr>
        <w:spacing w:line="500" w:lineRule="exact"/>
        <w:ind w:firstLine="480" w:firstLineChars="200"/>
        <w:rPr>
          <w:rFonts w:ascii="宋体" w:hAnsi="宋体"/>
          <w:sz w:val="24"/>
        </w:rPr>
      </w:pPr>
      <w:r>
        <w:rPr>
          <w:rFonts w:hint="eastAsia" w:ascii="宋体" w:hAnsi="宋体"/>
          <w:sz w:val="24"/>
        </w:rPr>
        <w:t>(3) 宣布开标纪律；</w:t>
      </w:r>
    </w:p>
    <w:p>
      <w:pPr>
        <w:spacing w:line="500" w:lineRule="exact"/>
        <w:ind w:firstLine="480" w:firstLineChars="200"/>
        <w:rPr>
          <w:rFonts w:ascii="宋体" w:hAnsi="宋体"/>
          <w:sz w:val="24"/>
        </w:rPr>
      </w:pPr>
      <w:r>
        <w:rPr>
          <w:rFonts w:hint="eastAsia" w:ascii="宋体" w:hAnsi="宋体"/>
          <w:sz w:val="24"/>
        </w:rPr>
        <w:t>(4) 宣布招标人、唱标人、记录人、监标人等有关人员姓名；</w:t>
      </w:r>
    </w:p>
    <w:p>
      <w:pPr>
        <w:spacing w:line="500" w:lineRule="exact"/>
        <w:ind w:firstLine="480" w:firstLineChars="200"/>
        <w:rPr>
          <w:rFonts w:ascii="宋体" w:hAnsi="宋体"/>
          <w:sz w:val="24"/>
        </w:rPr>
      </w:pPr>
      <w:r>
        <w:rPr>
          <w:rFonts w:hint="eastAsia" w:ascii="宋体" w:hAnsi="宋体"/>
          <w:sz w:val="24"/>
        </w:rPr>
        <w:t>(5) 公布在投标截止时间前递交投标文件的投标人名称</w:t>
      </w:r>
      <w:r>
        <w:rPr>
          <w:rFonts w:hint="eastAsia" w:ascii="宋体" w:hAnsi="宋体"/>
          <w:bCs/>
          <w:sz w:val="24"/>
        </w:rPr>
        <w:t>，</w:t>
      </w:r>
      <w:r>
        <w:rPr>
          <w:rFonts w:hint="eastAsia" w:ascii="宋体" w:hAnsi="宋体"/>
          <w:sz w:val="24"/>
        </w:rPr>
        <w:t>并点名确认投标人是否派人到场；</w:t>
      </w:r>
    </w:p>
    <w:p>
      <w:pPr>
        <w:spacing w:line="500" w:lineRule="exact"/>
        <w:ind w:firstLine="480" w:firstLineChars="200"/>
        <w:rPr>
          <w:rFonts w:ascii="宋体" w:hAnsi="宋体"/>
          <w:sz w:val="24"/>
        </w:rPr>
      </w:pPr>
      <w:r>
        <w:rPr>
          <w:rFonts w:hint="eastAsia" w:ascii="宋体" w:hAnsi="宋体"/>
          <w:sz w:val="24"/>
        </w:rPr>
        <w:t>(6) 由投标人代表和现场监督人员按照投标人须知4.1条检查投标文件的密封情况，并签字确认；</w:t>
      </w:r>
    </w:p>
    <w:p>
      <w:pPr>
        <w:spacing w:line="360" w:lineRule="auto"/>
        <w:ind w:firstLine="480" w:firstLineChars="200"/>
        <w:jc w:val="left"/>
        <w:rPr>
          <w:rFonts w:ascii="宋体" w:hAnsi="宋体" w:cs="宋体"/>
          <w:bCs/>
          <w:sz w:val="24"/>
        </w:rPr>
      </w:pPr>
      <w:r>
        <w:rPr>
          <w:rFonts w:hint="eastAsia" w:ascii="宋体" w:hAnsi="宋体" w:cs="宋体"/>
          <w:bCs/>
          <w:sz w:val="24"/>
        </w:rPr>
        <w:t>(7) 对密封情况确认无误后，按照投标文件递交时间的先后顺序当众开标；</w:t>
      </w:r>
    </w:p>
    <w:p>
      <w:pPr>
        <w:spacing w:line="360" w:lineRule="auto"/>
        <w:ind w:firstLine="480" w:firstLineChars="200"/>
        <w:jc w:val="left"/>
        <w:rPr>
          <w:rFonts w:ascii="宋体" w:hAnsi="宋体" w:cs="宋体"/>
          <w:bCs/>
          <w:sz w:val="24"/>
        </w:rPr>
      </w:pPr>
      <w:r>
        <w:rPr>
          <w:rFonts w:hint="eastAsia" w:ascii="宋体" w:hAnsi="宋体" w:cs="宋体"/>
          <w:bCs/>
          <w:sz w:val="24"/>
        </w:rPr>
        <w:t>(8) 唱标：唱商务标正本“开标一览表”内容，以及招标代理机构认为合适的其他内容，并记录在案；</w:t>
      </w:r>
    </w:p>
    <w:p>
      <w:pPr>
        <w:spacing w:line="500" w:lineRule="exact"/>
        <w:ind w:firstLine="480" w:firstLineChars="200"/>
        <w:rPr>
          <w:rFonts w:ascii="宋体" w:hAnsi="宋体"/>
          <w:sz w:val="24"/>
        </w:rPr>
      </w:pPr>
      <w:r>
        <w:rPr>
          <w:rFonts w:hint="eastAsia" w:ascii="宋体" w:hAnsi="宋体"/>
          <w:sz w:val="24"/>
        </w:rPr>
        <w:t>(9) 投标人代表、招标人代表、监标人、记录人等有关人员在开标记录上签字确认；</w:t>
      </w:r>
    </w:p>
    <w:p>
      <w:pPr>
        <w:spacing w:line="500" w:lineRule="exact"/>
        <w:ind w:firstLine="480" w:firstLineChars="200"/>
        <w:rPr>
          <w:rFonts w:ascii="宋体" w:hAnsi="宋体"/>
          <w:sz w:val="24"/>
        </w:rPr>
      </w:pPr>
      <w:r>
        <w:rPr>
          <w:rFonts w:hint="eastAsia" w:ascii="宋体" w:hAnsi="宋体"/>
          <w:sz w:val="24"/>
        </w:rPr>
        <w:t>(11) 评标结果网上公示；</w:t>
      </w:r>
    </w:p>
    <w:p>
      <w:pPr>
        <w:spacing w:line="500" w:lineRule="exact"/>
        <w:ind w:firstLine="480" w:firstLineChars="200"/>
        <w:rPr>
          <w:rFonts w:ascii="宋体" w:hAnsi="宋体"/>
          <w:sz w:val="24"/>
        </w:rPr>
      </w:pPr>
      <w:r>
        <w:rPr>
          <w:rFonts w:hint="eastAsia" w:ascii="宋体" w:hAnsi="宋体"/>
          <w:sz w:val="24"/>
        </w:rPr>
        <w:t>(12) 开标结束。</w:t>
      </w:r>
    </w:p>
    <w:p>
      <w:pPr>
        <w:spacing w:line="500" w:lineRule="exact"/>
        <w:ind w:firstLine="480" w:firstLineChars="200"/>
        <w:rPr>
          <w:rFonts w:ascii="宋体" w:hAnsi="宋体"/>
          <w:sz w:val="24"/>
        </w:rPr>
      </w:pPr>
      <w:r>
        <w:rPr>
          <w:rFonts w:hint="eastAsia" w:ascii="宋体" w:hAnsi="宋体"/>
          <w:sz w:val="24"/>
        </w:rPr>
        <w:t xml:space="preserve">5.2.2 投标人代表到达开标会要求,见投标人须知前附表,投标人代表不能按要求到达开标现场，其投标书不予评审。 </w:t>
      </w:r>
    </w:p>
    <w:p>
      <w:pPr>
        <w:spacing w:line="500" w:lineRule="exact"/>
        <w:ind w:firstLine="600" w:firstLineChars="250"/>
        <w:rPr>
          <w:rFonts w:ascii="宋体" w:hAnsi="宋体"/>
          <w:sz w:val="24"/>
        </w:rPr>
      </w:pPr>
      <w:r>
        <w:rPr>
          <w:rFonts w:hint="eastAsia" w:ascii="宋体" w:hAnsi="宋体"/>
          <w:sz w:val="24"/>
        </w:rPr>
        <w:t>5.2.3投标人对开标的异议，应当在开标会上当场提出，招标人当场作出答复，并制作记录，否则视为无异议。</w:t>
      </w:r>
    </w:p>
    <w:p>
      <w:pPr>
        <w:spacing w:line="500" w:lineRule="exact"/>
        <w:rPr>
          <w:rFonts w:ascii="宋体" w:hAnsi="宋体"/>
          <w:b/>
          <w:sz w:val="24"/>
        </w:rPr>
      </w:pPr>
      <w:bookmarkStart w:id="33" w:name="_Toc184635076"/>
      <w:bookmarkStart w:id="34" w:name="_Toc346013357"/>
      <w:bookmarkStart w:id="35" w:name="_Toc346012814"/>
      <w:bookmarkStart w:id="36" w:name="_Toc248986344"/>
      <w:bookmarkStart w:id="37" w:name="_Toc346012957"/>
      <w:r>
        <w:rPr>
          <w:rFonts w:hint="eastAsia" w:ascii="宋体" w:hAnsi="宋体"/>
          <w:b/>
          <w:sz w:val="24"/>
        </w:rPr>
        <w:t>6．评标</w:t>
      </w:r>
      <w:bookmarkEnd w:id="33"/>
      <w:bookmarkEnd w:id="34"/>
      <w:bookmarkEnd w:id="35"/>
      <w:bookmarkEnd w:id="36"/>
      <w:bookmarkEnd w:id="37"/>
    </w:p>
    <w:p>
      <w:pPr>
        <w:spacing w:line="500" w:lineRule="exact"/>
        <w:rPr>
          <w:rFonts w:ascii="宋体" w:hAnsi="宋体"/>
          <w:b/>
          <w:sz w:val="24"/>
        </w:rPr>
      </w:pPr>
      <w:r>
        <w:rPr>
          <w:rFonts w:hint="eastAsia" w:ascii="宋体" w:hAnsi="宋体"/>
          <w:b/>
          <w:sz w:val="24"/>
        </w:rPr>
        <w:t>6.1 评标委员会</w:t>
      </w:r>
    </w:p>
    <w:p>
      <w:pPr>
        <w:pStyle w:val="81"/>
        <w:spacing w:line="500" w:lineRule="exact"/>
        <w:ind w:firstLine="480" w:firstLineChars="200"/>
        <w:rPr>
          <w:rFonts w:ascii="宋体" w:hAnsi="宋体"/>
        </w:rPr>
      </w:pPr>
      <w:r>
        <w:rPr>
          <w:rFonts w:hint="eastAsia" w:ascii="宋体" w:hAnsi="宋体"/>
          <w:sz w:val="24"/>
        </w:rPr>
        <w:t>6.1.1 评标由招标人依法组建的评标委员会负责。评委会成员由5人及以上单数组成,</w:t>
      </w:r>
      <w:r>
        <w:rPr>
          <w:rFonts w:ascii="宋体" w:hAnsi="宋体"/>
          <w:sz w:val="24"/>
        </w:rPr>
        <w:t>由招标人在有关监督部门的监督下，从</w:t>
      </w:r>
      <w:r>
        <w:rPr>
          <w:rFonts w:hint="eastAsia" w:ascii="宋体" w:hAnsi="宋体"/>
          <w:sz w:val="24"/>
        </w:rPr>
        <w:t>有关</w:t>
      </w:r>
      <w:r>
        <w:rPr>
          <w:rFonts w:ascii="宋体" w:hAnsi="宋体"/>
          <w:sz w:val="24"/>
        </w:rPr>
        <w:t>评标专家库中随机抽取</w:t>
      </w:r>
      <w:r>
        <w:rPr>
          <w:rFonts w:hint="eastAsia" w:ascii="宋体" w:hAnsi="宋体"/>
          <w:sz w:val="24"/>
        </w:rPr>
        <w:t>。评标委员会成员的名单在中标结果确定前应当保密。评标委员会中专家人数不得少于2/3,招标人代表必须符合专家评委条件。</w:t>
      </w:r>
    </w:p>
    <w:p>
      <w:pPr>
        <w:spacing w:line="500" w:lineRule="exact"/>
        <w:ind w:firstLine="480" w:firstLineChars="200"/>
        <w:rPr>
          <w:rFonts w:ascii="宋体" w:hAnsi="宋体"/>
          <w:sz w:val="24"/>
        </w:rPr>
      </w:pPr>
      <w:r>
        <w:rPr>
          <w:rFonts w:hint="eastAsia" w:ascii="宋体" w:hAnsi="宋体"/>
          <w:sz w:val="24"/>
        </w:rPr>
        <w:t>6.1.2 有下列情形之一的，不得担任评标委员会成员：</w:t>
      </w:r>
    </w:p>
    <w:p>
      <w:pPr>
        <w:spacing w:line="500" w:lineRule="exact"/>
        <w:ind w:firstLine="720" w:firstLineChars="300"/>
        <w:rPr>
          <w:rFonts w:ascii="宋体" w:hAnsi="宋体"/>
          <w:sz w:val="24"/>
        </w:rPr>
      </w:pPr>
      <w:r>
        <w:rPr>
          <w:rFonts w:hint="eastAsia" w:ascii="宋体" w:hAnsi="宋体"/>
          <w:sz w:val="24"/>
        </w:rPr>
        <w:t>(1) 投标人或投标人的主要负责人的近亲属；</w:t>
      </w:r>
    </w:p>
    <w:p>
      <w:pPr>
        <w:spacing w:line="500" w:lineRule="exact"/>
        <w:ind w:firstLine="720" w:firstLineChars="300"/>
        <w:rPr>
          <w:rFonts w:ascii="宋体" w:hAnsi="宋体"/>
          <w:sz w:val="24"/>
        </w:rPr>
      </w:pPr>
      <w:r>
        <w:rPr>
          <w:rFonts w:hint="eastAsia" w:ascii="宋体" w:hAnsi="宋体"/>
          <w:sz w:val="24"/>
        </w:rPr>
        <w:t>(2) 项目主管部门或者行政监督部门的人员；</w:t>
      </w:r>
    </w:p>
    <w:p>
      <w:pPr>
        <w:spacing w:line="500" w:lineRule="exact"/>
        <w:ind w:firstLine="720" w:firstLineChars="300"/>
        <w:rPr>
          <w:rFonts w:ascii="宋体" w:hAnsi="宋体"/>
          <w:sz w:val="24"/>
        </w:rPr>
      </w:pPr>
      <w:r>
        <w:rPr>
          <w:rFonts w:hint="eastAsia" w:ascii="宋体" w:hAnsi="宋体"/>
          <w:sz w:val="24"/>
        </w:rPr>
        <w:t>(3) 与投标人有经济利益关系，可能影响对投标公正评审的；</w:t>
      </w:r>
    </w:p>
    <w:p>
      <w:pPr>
        <w:spacing w:line="500" w:lineRule="exact"/>
        <w:ind w:firstLine="720" w:firstLineChars="300"/>
        <w:rPr>
          <w:rFonts w:ascii="宋体" w:hAnsi="宋体"/>
          <w:sz w:val="24"/>
        </w:rPr>
      </w:pPr>
      <w:r>
        <w:rPr>
          <w:rFonts w:hint="eastAsia" w:ascii="宋体" w:hAnsi="宋体"/>
          <w:sz w:val="24"/>
        </w:rPr>
        <w:t>(4) 曾因在招标、评标以及其他与招标投标有关活动中从事违法行为而受过行政处罚或刑事处罚的。</w:t>
      </w:r>
    </w:p>
    <w:p>
      <w:pPr>
        <w:pStyle w:val="94"/>
        <w:spacing w:line="500" w:lineRule="exact"/>
        <w:ind w:firstLine="480" w:firstLineChars="200"/>
        <w:rPr>
          <w:rFonts w:hAnsi="宋体" w:cs="Times New Roman"/>
          <w:color w:val="auto"/>
          <w:kern w:val="2"/>
        </w:rPr>
      </w:pPr>
      <w:r>
        <w:rPr>
          <w:rFonts w:hint="eastAsia" w:hAnsi="宋体" w:cs="Times New Roman"/>
          <w:color w:val="auto"/>
          <w:kern w:val="2"/>
        </w:rPr>
        <w:t>（</w:t>
      </w:r>
      <w:r>
        <w:rPr>
          <w:rFonts w:hAnsi="宋体" w:cs="Times New Roman"/>
          <w:color w:val="auto"/>
          <w:kern w:val="2"/>
        </w:rPr>
        <w:t>5）与投标人有其他利害关系。</w:t>
      </w:r>
    </w:p>
    <w:p>
      <w:pPr>
        <w:pStyle w:val="94"/>
        <w:spacing w:line="500" w:lineRule="exact"/>
        <w:ind w:firstLine="480" w:firstLineChars="200"/>
        <w:rPr>
          <w:rFonts w:hAnsi="宋体" w:cs="Times New Roman"/>
          <w:color w:val="auto"/>
          <w:kern w:val="2"/>
        </w:rPr>
      </w:pPr>
      <w:r>
        <w:rPr>
          <w:rFonts w:hAnsi="宋体" w:cs="Times New Roman"/>
          <w:color w:val="auto"/>
          <w:kern w:val="2"/>
        </w:rPr>
        <w:t>6.1.3 评标过程中，评标委员会成员有回避事由、擅离职守或者因健康等原因不能继续评标</w:t>
      </w:r>
      <w:r>
        <w:rPr>
          <w:rFonts w:hint="eastAsia" w:hAnsi="宋体" w:cs="Times New Roman"/>
          <w:color w:val="auto"/>
          <w:kern w:val="2"/>
        </w:rPr>
        <w:t>的，招标人有权更换。被更换的评标委员会成员作出的评审结论无效，由更换后的评标委员会成员重新进行评审。</w:t>
      </w:r>
    </w:p>
    <w:p>
      <w:pPr>
        <w:spacing w:line="500" w:lineRule="exact"/>
        <w:rPr>
          <w:rFonts w:ascii="宋体" w:hAnsi="宋体"/>
          <w:b/>
          <w:sz w:val="24"/>
        </w:rPr>
      </w:pPr>
      <w:r>
        <w:rPr>
          <w:rFonts w:hint="eastAsia" w:ascii="宋体" w:hAnsi="宋体"/>
          <w:b/>
          <w:sz w:val="24"/>
        </w:rPr>
        <w:t>6.2 评标原则</w:t>
      </w:r>
    </w:p>
    <w:p>
      <w:pPr>
        <w:spacing w:line="500" w:lineRule="exact"/>
        <w:ind w:firstLine="480" w:firstLineChars="200"/>
        <w:rPr>
          <w:rFonts w:ascii="宋体" w:hAnsi="宋体"/>
          <w:sz w:val="24"/>
        </w:rPr>
      </w:pPr>
      <w:r>
        <w:rPr>
          <w:rFonts w:hint="eastAsia" w:ascii="宋体" w:hAnsi="宋体"/>
          <w:sz w:val="24"/>
        </w:rPr>
        <w:t>评标活动遵循公平、公正、科学和择优的原则。</w:t>
      </w:r>
    </w:p>
    <w:p>
      <w:pPr>
        <w:spacing w:line="500" w:lineRule="exact"/>
        <w:rPr>
          <w:rFonts w:ascii="宋体" w:hAnsi="宋体"/>
          <w:b/>
          <w:sz w:val="24"/>
        </w:rPr>
      </w:pPr>
      <w:r>
        <w:rPr>
          <w:rFonts w:hint="eastAsia" w:ascii="宋体" w:hAnsi="宋体"/>
          <w:b/>
          <w:sz w:val="24"/>
        </w:rPr>
        <w:t>6.3 评标</w:t>
      </w:r>
    </w:p>
    <w:p>
      <w:pPr>
        <w:adjustRightInd w:val="0"/>
        <w:snapToGrid w:val="0"/>
        <w:spacing w:line="500" w:lineRule="exact"/>
        <w:ind w:firstLine="499"/>
        <w:rPr>
          <w:rFonts w:ascii="宋体" w:hAnsi="宋体" w:cs="宋体"/>
          <w:sz w:val="24"/>
        </w:rPr>
      </w:pPr>
      <w:r>
        <w:rPr>
          <w:rFonts w:hint="eastAsia" w:ascii="宋体" w:hAnsi="宋体" w:cs="宋体"/>
          <w:sz w:val="24"/>
        </w:rPr>
        <w:t>6.3.1 本次招标采用的评标办法见前附表第36条。</w:t>
      </w:r>
    </w:p>
    <w:p>
      <w:pPr>
        <w:adjustRightInd w:val="0"/>
        <w:snapToGrid w:val="0"/>
        <w:spacing w:line="500" w:lineRule="exact"/>
        <w:ind w:firstLine="499"/>
        <w:rPr>
          <w:rFonts w:ascii="宋体" w:hAnsi="宋体" w:cs="宋体"/>
          <w:sz w:val="24"/>
        </w:rPr>
      </w:pPr>
      <w:r>
        <w:rPr>
          <w:rFonts w:hint="eastAsia" w:ascii="宋体" w:hAnsi="宋体" w:cs="宋体"/>
          <w:sz w:val="24"/>
        </w:rPr>
        <w:t>6.3.2 评标委员会按照第五章“评标办法”规定的方法、评审因素、标准和程序对投标文件进行评审。第五章“评标办法”没有规定的方法、评审因素和标准，不作为评标依据。</w:t>
      </w:r>
    </w:p>
    <w:p>
      <w:pPr>
        <w:adjustRightInd w:val="0"/>
        <w:snapToGrid w:val="0"/>
        <w:spacing w:before="156" w:beforeLines="50" w:after="156" w:afterLines="50" w:line="500" w:lineRule="exact"/>
        <w:rPr>
          <w:rFonts w:ascii="宋体" w:hAnsi="宋体" w:cs="宋体"/>
          <w:b/>
          <w:bCs/>
          <w:sz w:val="24"/>
        </w:rPr>
      </w:pPr>
      <w:r>
        <w:rPr>
          <w:rFonts w:hint="eastAsia" w:ascii="宋体" w:hAnsi="宋体" w:cs="宋体"/>
          <w:b/>
          <w:bCs/>
          <w:sz w:val="24"/>
        </w:rPr>
        <w:t>6.4评标过程的保密</w:t>
      </w:r>
    </w:p>
    <w:p>
      <w:pPr>
        <w:adjustRightInd w:val="0"/>
        <w:snapToGrid w:val="0"/>
        <w:spacing w:line="500" w:lineRule="exact"/>
        <w:ind w:firstLine="499"/>
        <w:rPr>
          <w:rFonts w:ascii="宋体" w:hAnsi="宋体" w:cs="宋体"/>
          <w:sz w:val="24"/>
        </w:rPr>
      </w:pPr>
      <w:r>
        <w:rPr>
          <w:rFonts w:hint="eastAsia" w:ascii="宋体" w:hAnsi="宋体" w:cs="宋体"/>
          <w:sz w:val="24"/>
        </w:rPr>
        <w:t>6.4.1 开标后，直至授予中标人合同为止，凡属于对投标文件的审查、澄清、评价和比较的有关资料以及中标候选人的推荐情况，与评标有关的其他任何情况均严格保密。</w:t>
      </w:r>
    </w:p>
    <w:p>
      <w:pPr>
        <w:adjustRightInd w:val="0"/>
        <w:snapToGrid w:val="0"/>
        <w:spacing w:line="500" w:lineRule="exact"/>
        <w:ind w:firstLine="499"/>
        <w:rPr>
          <w:rFonts w:ascii="宋体" w:hAnsi="宋体" w:cs="宋体"/>
          <w:sz w:val="24"/>
        </w:rPr>
      </w:pPr>
      <w:r>
        <w:rPr>
          <w:rFonts w:hint="eastAsia" w:ascii="宋体" w:hAnsi="宋体" w:cs="宋体"/>
          <w:sz w:val="24"/>
        </w:rPr>
        <w:t>6.4.2 在投标文件的评审和比较、中标候选人推荐以及授予合同的过程中，投标人向招标人和评标委员会施加影响的任何行为，都将会导致其投标被拒绝。</w:t>
      </w:r>
    </w:p>
    <w:p>
      <w:pPr>
        <w:adjustRightInd w:val="0"/>
        <w:snapToGrid w:val="0"/>
        <w:spacing w:line="500" w:lineRule="exact"/>
        <w:ind w:firstLine="499"/>
        <w:rPr>
          <w:rFonts w:ascii="宋体" w:hAnsi="宋体"/>
          <w:sz w:val="24"/>
        </w:rPr>
      </w:pPr>
      <w:r>
        <w:rPr>
          <w:rFonts w:hint="eastAsia" w:ascii="宋体" w:hAnsi="宋体" w:cs="宋体"/>
          <w:sz w:val="24"/>
        </w:rPr>
        <w:t>6.4.3 中标人确定后，招标人不对未中标人就评标过程以及未能中标原因作出任何解释。未中标人不得向评标委员会组成人员或其他有关人员索问评标过程的情况和材料。</w:t>
      </w:r>
    </w:p>
    <w:p>
      <w:pPr>
        <w:spacing w:line="500" w:lineRule="exact"/>
        <w:rPr>
          <w:rFonts w:ascii="宋体" w:hAnsi="宋体"/>
          <w:b/>
          <w:sz w:val="24"/>
        </w:rPr>
      </w:pPr>
      <w:bookmarkStart w:id="38" w:name="_Toc346012815"/>
      <w:bookmarkStart w:id="39" w:name="_Toc248986345"/>
      <w:bookmarkStart w:id="40" w:name="_Toc184635077"/>
      <w:bookmarkStart w:id="41" w:name="_Toc346012958"/>
      <w:bookmarkStart w:id="42" w:name="_Toc346013358"/>
      <w:r>
        <w:rPr>
          <w:rFonts w:hint="eastAsia" w:ascii="宋体" w:hAnsi="宋体"/>
          <w:b/>
          <w:sz w:val="24"/>
        </w:rPr>
        <w:t>7．合同授予</w:t>
      </w:r>
      <w:bookmarkEnd w:id="38"/>
      <w:bookmarkEnd w:id="39"/>
      <w:bookmarkEnd w:id="40"/>
      <w:bookmarkEnd w:id="41"/>
      <w:bookmarkEnd w:id="42"/>
    </w:p>
    <w:p>
      <w:pPr>
        <w:spacing w:line="500" w:lineRule="exact"/>
        <w:rPr>
          <w:rFonts w:ascii="宋体" w:hAnsi="宋体"/>
          <w:b/>
          <w:sz w:val="24"/>
        </w:rPr>
      </w:pPr>
      <w:r>
        <w:rPr>
          <w:rFonts w:hint="eastAsia" w:ascii="宋体" w:hAnsi="宋体"/>
          <w:b/>
          <w:sz w:val="24"/>
        </w:rPr>
        <w:t>7.1 定标方式</w:t>
      </w:r>
    </w:p>
    <w:p>
      <w:pPr>
        <w:spacing w:line="500" w:lineRule="exact"/>
        <w:ind w:firstLine="480" w:firstLineChars="200"/>
        <w:rPr>
          <w:rFonts w:ascii="宋体" w:hAnsi="宋体"/>
          <w:sz w:val="24"/>
        </w:rPr>
      </w:pPr>
      <w:r>
        <w:rPr>
          <w:rFonts w:hint="eastAsia" w:ascii="宋体" w:hAnsi="宋体"/>
          <w:sz w:val="24"/>
        </w:rPr>
        <w:t>7.1.1 中标公示</w:t>
      </w:r>
    </w:p>
    <w:p>
      <w:pPr>
        <w:spacing w:line="500" w:lineRule="exact"/>
        <w:ind w:firstLine="480" w:firstLineChars="200"/>
        <w:rPr>
          <w:rFonts w:ascii="宋体" w:hAnsi="宋体"/>
          <w:sz w:val="24"/>
        </w:rPr>
      </w:pPr>
      <w:r>
        <w:rPr>
          <w:rFonts w:hint="eastAsia" w:ascii="宋体" w:hAnsi="宋体"/>
          <w:sz w:val="24"/>
        </w:rPr>
        <w:t>招标人依据评标委员会推荐1-3名有排序的中标候选人名单在投标人须知前附表规定的地点（或网址）进行公示，公示时间3天。</w:t>
      </w:r>
    </w:p>
    <w:p>
      <w:pPr>
        <w:spacing w:line="500" w:lineRule="exact"/>
        <w:ind w:firstLine="480" w:firstLineChars="200"/>
        <w:rPr>
          <w:rFonts w:ascii="宋体" w:hAnsi="宋体"/>
          <w:sz w:val="24"/>
        </w:rPr>
      </w:pPr>
      <w:r>
        <w:rPr>
          <w:rFonts w:hint="eastAsia" w:ascii="宋体" w:hAnsi="宋体"/>
          <w:sz w:val="24"/>
        </w:rPr>
        <w:t>7.1.2 定标方法 招标人按《投标须知前附表》第38条规定的方式确定中标人。</w:t>
      </w:r>
    </w:p>
    <w:p>
      <w:pPr>
        <w:spacing w:line="500" w:lineRule="exact"/>
        <w:ind w:firstLine="480" w:firstLineChars="200"/>
        <w:rPr>
          <w:rFonts w:ascii="宋体" w:hAnsi="宋体"/>
          <w:sz w:val="24"/>
        </w:rPr>
      </w:pPr>
      <w:r>
        <w:rPr>
          <w:rFonts w:hint="eastAsia" w:ascii="宋体" w:hAnsi="宋体"/>
          <w:sz w:val="24"/>
        </w:rPr>
        <w:t>招标人可委托评标委员会直接确定中标人。也可以根据评标委员会提出的书面报告和推荐的1-3名有排序的合格的中标候选人中确定中标人。在公示期结束后无异议，招标人根据招标文件的要求条件可依次对中标候选人进行考察，依法确定第一中标候选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480" w:firstLineChars="200"/>
        <w:rPr>
          <w:rFonts w:ascii="宋体" w:hAnsi="宋体"/>
          <w:sz w:val="24"/>
        </w:rPr>
      </w:pPr>
      <w:r>
        <w:rPr>
          <w:rFonts w:hint="eastAsia" w:ascii="宋体" w:hAnsi="宋体"/>
          <w:sz w:val="24"/>
        </w:rPr>
        <w:t>招标人在评标委员会提出书面评标报告后，15日内确定中标人, 招标人可在确定中标人之前对拟中标人进行安全质量事故及犯罪档案查询，并对其提供的所有投标资料进行核查，如发现有重大安全质量事故受到处罚或犯罪记录或弄虚作假现象将取消其中标资格，其投标保证金不予退还。</w:t>
      </w:r>
    </w:p>
    <w:p>
      <w:pPr>
        <w:spacing w:line="500" w:lineRule="exact"/>
        <w:ind w:firstLine="480" w:firstLineChars="200"/>
        <w:rPr>
          <w:rFonts w:ascii="宋体" w:hAnsi="宋体"/>
          <w:snapToGrid w:val="0"/>
          <w:kern w:val="0"/>
          <w:sz w:val="24"/>
        </w:rPr>
      </w:pPr>
      <w:r>
        <w:rPr>
          <w:rFonts w:hint="eastAsia" w:ascii="宋体" w:hAnsi="宋体"/>
          <w:sz w:val="24"/>
        </w:rPr>
        <w:t>7.1.3</w:t>
      </w:r>
      <w:r>
        <w:rPr>
          <w:rFonts w:hint="eastAsia" w:ascii="宋体" w:hAnsi="宋体"/>
          <w:snapToGrid w:val="0"/>
          <w:kern w:val="0"/>
          <w:sz w:val="24"/>
        </w:rPr>
        <w:t>《中标通知书》将作为签订合同的依据。</w:t>
      </w:r>
    </w:p>
    <w:p>
      <w:pPr>
        <w:spacing w:line="500" w:lineRule="exact"/>
        <w:ind w:firstLine="480" w:firstLineChars="200"/>
        <w:rPr>
          <w:rFonts w:ascii="宋体" w:hAnsi="宋体"/>
          <w:sz w:val="24"/>
        </w:rPr>
      </w:pPr>
      <w:r>
        <w:rPr>
          <w:rFonts w:hint="eastAsia" w:ascii="宋体" w:hAnsi="宋体"/>
          <w:sz w:val="24"/>
        </w:rPr>
        <w:t>7.1.4</w:t>
      </w:r>
      <w:r>
        <w:rPr>
          <w:rFonts w:hint="eastAsia" w:ascii="宋体" w:hAnsi="宋体"/>
          <w:snapToGrid w:val="0"/>
          <w:kern w:val="0"/>
          <w:sz w:val="24"/>
        </w:rPr>
        <w:t>招标人在授予合同时有权对货物数量和服务予以增加或减少。</w:t>
      </w:r>
    </w:p>
    <w:p>
      <w:pPr>
        <w:spacing w:line="500" w:lineRule="exact"/>
        <w:rPr>
          <w:rFonts w:ascii="宋体" w:hAnsi="宋体"/>
          <w:b/>
          <w:sz w:val="24"/>
        </w:rPr>
      </w:pPr>
      <w:r>
        <w:rPr>
          <w:rFonts w:hint="eastAsia" w:ascii="宋体" w:hAnsi="宋体"/>
          <w:b/>
          <w:sz w:val="24"/>
        </w:rPr>
        <w:t>7.2 中标通知</w:t>
      </w:r>
    </w:p>
    <w:p>
      <w:pPr>
        <w:spacing w:line="500" w:lineRule="exact"/>
        <w:ind w:firstLine="480" w:firstLineChars="200"/>
        <w:rPr>
          <w:rFonts w:ascii="宋体" w:hAnsi="宋体"/>
          <w:sz w:val="24"/>
        </w:rPr>
      </w:pPr>
      <w:r>
        <w:rPr>
          <w:rFonts w:hint="eastAsia" w:ascii="宋体" w:hAnsi="宋体"/>
          <w:sz w:val="24"/>
        </w:rPr>
        <w:t>在本章第3.3条规定的投标有效期内，招标人以书面形式向中标人发出中标通知书，同时将中标结果通知未中标的投标人。</w:t>
      </w:r>
    </w:p>
    <w:p>
      <w:pPr>
        <w:spacing w:line="500" w:lineRule="exact"/>
        <w:rPr>
          <w:rFonts w:ascii="宋体" w:hAnsi="宋体"/>
          <w:b/>
          <w:color w:val="FF0000"/>
          <w:sz w:val="24"/>
          <w:highlight w:val="green"/>
        </w:rPr>
      </w:pPr>
      <w:r>
        <w:rPr>
          <w:rFonts w:hint="eastAsia" w:ascii="宋体" w:hAnsi="宋体"/>
          <w:b/>
          <w:sz w:val="24"/>
        </w:rPr>
        <w:t>7.3 履约担保</w:t>
      </w:r>
    </w:p>
    <w:p>
      <w:pPr>
        <w:spacing w:line="500" w:lineRule="exact"/>
        <w:ind w:firstLine="480" w:firstLineChars="200"/>
        <w:rPr>
          <w:rFonts w:ascii="宋体" w:hAnsi="宋体"/>
          <w:sz w:val="24"/>
        </w:rPr>
      </w:pPr>
      <w:r>
        <w:rPr>
          <w:rFonts w:hint="eastAsia" w:ascii="宋体" w:hAnsi="宋体"/>
          <w:sz w:val="24"/>
        </w:rPr>
        <w:t>7.3.1 在签订合同前，中标人应按《投标须知前附表》规定的金额、担保形式向招标人提交履约担保，且符合招标文件第三章“采购合同”规定的履约担保要求。联合体中标的，其履约担保由牵头人递交，并应符合《投标须知前附表》规定的金额、担保形式和招标文件第三章“采购合同”规定的履约担保要求。</w:t>
      </w:r>
    </w:p>
    <w:p>
      <w:pPr>
        <w:spacing w:line="500" w:lineRule="exact"/>
        <w:ind w:firstLine="480" w:firstLineChars="200"/>
        <w:rPr>
          <w:rFonts w:ascii="宋体" w:hAnsi="宋体"/>
          <w:sz w:val="24"/>
        </w:rPr>
      </w:pPr>
      <w:r>
        <w:rPr>
          <w:rFonts w:hint="eastAsia" w:ascii="宋体" w:hAnsi="宋体"/>
          <w:sz w:val="24"/>
        </w:rPr>
        <w:t>7.3.2 中标人不能按本章第7.3.1 条要求提交履约担保的，视为放弃中标，其投标保证金不予退还，给招标人造成的损失超过投标保证金数额的，中标人还应当对超过部分予以赔偿。</w:t>
      </w:r>
    </w:p>
    <w:p>
      <w:pPr>
        <w:spacing w:line="500" w:lineRule="exact"/>
        <w:rPr>
          <w:rFonts w:ascii="宋体" w:hAnsi="宋体"/>
          <w:b/>
          <w:sz w:val="24"/>
        </w:rPr>
      </w:pPr>
      <w:r>
        <w:rPr>
          <w:rFonts w:hint="eastAsia" w:ascii="宋体" w:hAnsi="宋体"/>
          <w:b/>
          <w:sz w:val="24"/>
        </w:rPr>
        <w:t>7.4 签订合同</w:t>
      </w:r>
    </w:p>
    <w:p>
      <w:pPr>
        <w:spacing w:line="500" w:lineRule="exact"/>
        <w:ind w:firstLine="480" w:firstLineChars="200"/>
        <w:rPr>
          <w:rFonts w:ascii="宋体" w:hAnsi="宋体"/>
          <w:sz w:val="24"/>
        </w:rPr>
      </w:pPr>
      <w:r>
        <w:rPr>
          <w:rFonts w:hint="eastAsia" w:ascii="宋体" w:hAnsi="宋体"/>
          <w:sz w:val="24"/>
        </w:rPr>
        <w:t>7.4.1 招标人和中标人应当自中标通知书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500" w:lineRule="exact"/>
        <w:ind w:firstLine="480" w:firstLineChars="200"/>
        <w:rPr>
          <w:rFonts w:ascii="宋体" w:hAnsi="宋体"/>
          <w:sz w:val="24"/>
        </w:rPr>
      </w:pPr>
      <w:r>
        <w:rPr>
          <w:rFonts w:hint="eastAsia" w:ascii="宋体" w:hAnsi="宋体"/>
          <w:sz w:val="24"/>
        </w:rPr>
        <w:t>7.4.2 发出中标通知书后，招标人无正当理由拒签合同的，招标人向中标人退还投标保证金；给中标人造成损失的，还应当赔偿损失。</w:t>
      </w:r>
    </w:p>
    <w:p>
      <w:pPr>
        <w:spacing w:line="500" w:lineRule="exact"/>
        <w:rPr>
          <w:rFonts w:ascii="宋体" w:hAnsi="宋体"/>
          <w:b/>
          <w:sz w:val="24"/>
        </w:rPr>
      </w:pPr>
      <w:bookmarkStart w:id="43" w:name="_Toc184635078"/>
      <w:bookmarkStart w:id="44" w:name="_Toc346012959"/>
      <w:bookmarkStart w:id="45" w:name="_Toc346013359"/>
      <w:bookmarkStart w:id="46" w:name="_Toc248986346"/>
      <w:bookmarkStart w:id="47" w:name="_Toc346012816"/>
      <w:r>
        <w:rPr>
          <w:rFonts w:hint="eastAsia" w:ascii="宋体" w:hAnsi="宋体"/>
          <w:b/>
          <w:sz w:val="24"/>
        </w:rPr>
        <w:t>8．重新招标和不再招标</w:t>
      </w:r>
      <w:bookmarkEnd w:id="43"/>
      <w:bookmarkEnd w:id="44"/>
      <w:bookmarkEnd w:id="45"/>
      <w:bookmarkEnd w:id="46"/>
      <w:bookmarkEnd w:id="47"/>
    </w:p>
    <w:p>
      <w:pPr>
        <w:spacing w:line="500" w:lineRule="exact"/>
        <w:rPr>
          <w:rFonts w:ascii="宋体" w:hAnsi="宋体"/>
          <w:b/>
          <w:sz w:val="24"/>
        </w:rPr>
      </w:pPr>
      <w:r>
        <w:rPr>
          <w:rFonts w:hint="eastAsia" w:ascii="宋体" w:hAnsi="宋体"/>
          <w:b/>
          <w:sz w:val="24"/>
        </w:rPr>
        <w:t>8.1 重新招标</w:t>
      </w:r>
    </w:p>
    <w:p>
      <w:pPr>
        <w:spacing w:line="500" w:lineRule="exact"/>
        <w:ind w:firstLine="480" w:firstLineChars="200"/>
        <w:rPr>
          <w:rFonts w:ascii="宋体" w:hAnsi="宋体"/>
          <w:sz w:val="24"/>
        </w:rPr>
      </w:pPr>
      <w:r>
        <w:rPr>
          <w:rFonts w:hint="eastAsia" w:ascii="宋体" w:hAnsi="宋体"/>
          <w:sz w:val="24"/>
        </w:rPr>
        <w:t>有下列情形之一的，招标人将重新招标：</w:t>
      </w:r>
    </w:p>
    <w:p>
      <w:pPr>
        <w:spacing w:line="500" w:lineRule="exact"/>
        <w:ind w:firstLine="480" w:firstLineChars="200"/>
        <w:rPr>
          <w:rFonts w:ascii="宋体" w:hAnsi="宋体"/>
          <w:sz w:val="24"/>
        </w:rPr>
      </w:pPr>
      <w:r>
        <w:rPr>
          <w:rFonts w:hint="eastAsia" w:ascii="宋体" w:hAnsi="宋体"/>
          <w:sz w:val="24"/>
        </w:rPr>
        <w:t>(1) 投标截止时，投标人少于3个的；</w:t>
      </w:r>
    </w:p>
    <w:p>
      <w:pPr>
        <w:spacing w:line="500" w:lineRule="exact"/>
        <w:ind w:firstLine="480" w:firstLineChars="200"/>
        <w:rPr>
          <w:rFonts w:ascii="宋体" w:hAnsi="宋体"/>
          <w:sz w:val="24"/>
        </w:rPr>
      </w:pPr>
      <w:r>
        <w:rPr>
          <w:rFonts w:hint="eastAsia" w:ascii="宋体" w:hAnsi="宋体"/>
          <w:sz w:val="24"/>
        </w:rPr>
        <w:t>(2) 经评标委员会评审后否决所有投标的。</w:t>
      </w:r>
    </w:p>
    <w:p>
      <w:pPr>
        <w:spacing w:line="500" w:lineRule="exact"/>
        <w:rPr>
          <w:rFonts w:ascii="宋体" w:hAnsi="宋体"/>
          <w:b/>
          <w:sz w:val="24"/>
        </w:rPr>
      </w:pPr>
      <w:r>
        <w:rPr>
          <w:rFonts w:hint="eastAsia" w:ascii="宋体" w:hAnsi="宋体"/>
          <w:b/>
          <w:sz w:val="24"/>
        </w:rPr>
        <w:t>8.2 不再招标</w:t>
      </w:r>
    </w:p>
    <w:p>
      <w:pPr>
        <w:spacing w:line="500" w:lineRule="exact"/>
        <w:ind w:firstLine="480" w:firstLineChars="200"/>
        <w:rPr>
          <w:rFonts w:ascii="宋体" w:hAnsi="宋体"/>
          <w:sz w:val="24"/>
        </w:rPr>
      </w:pPr>
      <w:r>
        <w:rPr>
          <w:rFonts w:hint="eastAsia" w:ascii="宋体" w:hAnsi="宋体"/>
          <w:sz w:val="24"/>
        </w:rPr>
        <w:t>重新招标后投标人仍少于3 个或者所有投标被否决的，属于必须审批或核准的工程建设项目，经原审批或核准部门批准后可以不再进行招标。</w:t>
      </w:r>
    </w:p>
    <w:p>
      <w:pPr>
        <w:spacing w:line="500" w:lineRule="exact"/>
        <w:rPr>
          <w:rFonts w:ascii="宋体" w:hAnsi="宋体"/>
          <w:b/>
          <w:sz w:val="24"/>
        </w:rPr>
      </w:pPr>
      <w:bookmarkStart w:id="48" w:name="_Toc346013360"/>
      <w:bookmarkStart w:id="49" w:name="_Toc184635079"/>
      <w:bookmarkStart w:id="50" w:name="_Toc346012817"/>
      <w:bookmarkStart w:id="51" w:name="_Toc346012960"/>
      <w:bookmarkStart w:id="52" w:name="_Toc248986347"/>
      <w:r>
        <w:rPr>
          <w:rFonts w:hint="eastAsia" w:ascii="宋体" w:hAnsi="宋体"/>
          <w:b/>
          <w:sz w:val="24"/>
        </w:rPr>
        <w:t>9．纪律和监督</w:t>
      </w:r>
      <w:bookmarkEnd w:id="48"/>
      <w:bookmarkEnd w:id="49"/>
      <w:bookmarkEnd w:id="50"/>
      <w:bookmarkEnd w:id="51"/>
      <w:bookmarkEnd w:id="52"/>
    </w:p>
    <w:p>
      <w:pPr>
        <w:spacing w:line="500" w:lineRule="exact"/>
        <w:rPr>
          <w:rFonts w:ascii="宋体" w:hAnsi="宋体"/>
          <w:b/>
          <w:sz w:val="24"/>
        </w:rPr>
      </w:pPr>
      <w:r>
        <w:rPr>
          <w:rFonts w:hint="eastAsia" w:ascii="宋体" w:hAnsi="宋体"/>
          <w:b/>
          <w:sz w:val="24"/>
        </w:rPr>
        <w:t>9.1 对招标人的纪律要求</w:t>
      </w:r>
    </w:p>
    <w:p>
      <w:pPr>
        <w:spacing w:line="500" w:lineRule="exact"/>
        <w:ind w:firstLine="480" w:firstLineChars="200"/>
        <w:rPr>
          <w:rFonts w:ascii="宋体" w:hAnsi="宋体"/>
          <w:sz w:val="24"/>
        </w:rPr>
      </w:pPr>
      <w:r>
        <w:rPr>
          <w:rFonts w:hint="eastAsia" w:ascii="宋体" w:hAnsi="宋体"/>
          <w:sz w:val="24"/>
        </w:rPr>
        <w:t>招标人不得泄漏招标投标活动中应当保密的情况和资料，不得与投标人串通损害国家利益、社会公共利益或者他人合法权益。</w:t>
      </w:r>
    </w:p>
    <w:p>
      <w:pPr>
        <w:spacing w:line="500" w:lineRule="exact"/>
        <w:rPr>
          <w:rFonts w:ascii="宋体" w:hAnsi="宋体"/>
          <w:b/>
          <w:sz w:val="24"/>
        </w:rPr>
      </w:pPr>
      <w:r>
        <w:rPr>
          <w:rFonts w:hint="eastAsia" w:ascii="宋体" w:hAnsi="宋体"/>
          <w:b/>
          <w:sz w:val="24"/>
        </w:rPr>
        <w:t>9.2 对投标人的纪律要求</w:t>
      </w:r>
    </w:p>
    <w:p>
      <w:pPr>
        <w:spacing w:line="500" w:lineRule="exact"/>
        <w:ind w:firstLine="480" w:firstLineChars="200"/>
        <w:rPr>
          <w:rFonts w:ascii="宋体" w:hAnsi="宋体"/>
          <w:sz w:val="24"/>
        </w:rPr>
      </w:pPr>
      <w:r>
        <w:rPr>
          <w:rFonts w:hint="eastAsia" w:ascii="宋体" w:hAnsi="宋体"/>
          <w:sz w:val="24"/>
        </w:rPr>
        <w:t>投标人不得相互串通投标或者与招标人串通投标，不得与评标委员会成员串通谋取中标，不得以他人名义投标或者以其他方式弄虚作假骗取中标；投标人不得以任何方式干扰、影响评标工作。参加开标会人员：本项目的法人或授权委托人，须按时到场参加开标会，否则视为自动放弃投标资格。</w:t>
      </w:r>
    </w:p>
    <w:p>
      <w:pPr>
        <w:spacing w:line="500" w:lineRule="exact"/>
        <w:rPr>
          <w:rFonts w:ascii="宋体" w:hAnsi="宋体"/>
          <w:b/>
          <w:sz w:val="24"/>
        </w:rPr>
      </w:pPr>
      <w:r>
        <w:rPr>
          <w:rFonts w:hint="eastAsia" w:ascii="宋体" w:hAnsi="宋体"/>
          <w:b/>
          <w:sz w:val="24"/>
        </w:rPr>
        <w:t>9.3 对评标委员会成员的纪律要求</w:t>
      </w:r>
    </w:p>
    <w:p>
      <w:pPr>
        <w:spacing w:line="500" w:lineRule="exact"/>
        <w:ind w:firstLine="480" w:firstLineChars="200"/>
        <w:rPr>
          <w:rFonts w:ascii="宋体" w:hAnsi="宋体"/>
          <w:sz w:val="24"/>
        </w:rPr>
      </w:pPr>
      <w:r>
        <w:rPr>
          <w:rFonts w:hint="eastAsia" w:ascii="宋体" w:hAnsi="宋体"/>
          <w:sz w:val="24"/>
        </w:rPr>
        <w:t>评标委员会成员不得与招标人（代理人）或者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五章“评标办法”没有规定的评审因素和标准进行评标。</w:t>
      </w:r>
    </w:p>
    <w:p>
      <w:pPr>
        <w:spacing w:line="500" w:lineRule="exact"/>
        <w:rPr>
          <w:rFonts w:ascii="宋体" w:hAnsi="宋体"/>
          <w:b/>
          <w:sz w:val="24"/>
        </w:rPr>
      </w:pPr>
      <w:r>
        <w:rPr>
          <w:rFonts w:hint="eastAsia" w:ascii="宋体" w:hAnsi="宋体"/>
          <w:b/>
          <w:sz w:val="24"/>
        </w:rPr>
        <w:t>9.4 对与评标活动有关的工作人员的纪律要求</w:t>
      </w:r>
    </w:p>
    <w:p>
      <w:pPr>
        <w:spacing w:line="500" w:lineRule="exact"/>
        <w:ind w:firstLine="480" w:firstLineChars="200"/>
        <w:rPr>
          <w:rFonts w:ascii="宋体" w:hAnsi="宋体"/>
          <w:sz w:val="24"/>
        </w:rPr>
      </w:pPr>
      <w:r>
        <w:rPr>
          <w:rFonts w:hint="eastAsia" w:ascii="宋体" w:hAnsi="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500" w:lineRule="exact"/>
        <w:rPr>
          <w:rFonts w:ascii="宋体" w:hAnsi="宋体"/>
          <w:b/>
          <w:sz w:val="24"/>
        </w:rPr>
      </w:pPr>
      <w:r>
        <w:rPr>
          <w:rFonts w:hint="eastAsia" w:ascii="宋体" w:hAnsi="宋体"/>
          <w:b/>
          <w:sz w:val="24"/>
        </w:rPr>
        <w:t>9.5 疑义、异议、投诉</w:t>
      </w:r>
    </w:p>
    <w:p>
      <w:pPr>
        <w:spacing w:line="500" w:lineRule="exact"/>
        <w:ind w:firstLine="480" w:firstLineChars="200"/>
        <w:rPr>
          <w:rFonts w:ascii="宋体" w:hAnsi="宋体"/>
          <w:sz w:val="24"/>
        </w:rPr>
      </w:pPr>
      <w:bookmarkStart w:id="53" w:name="_Toc346013362"/>
      <w:bookmarkStart w:id="54" w:name="_Toc346012962"/>
      <w:bookmarkStart w:id="55" w:name="_Toc346012819"/>
      <w:r>
        <w:rPr>
          <w:rFonts w:hint="eastAsia" w:ascii="宋体" w:hAnsi="宋体"/>
          <w:sz w:val="24"/>
        </w:rPr>
        <w:t>见投标人须知前附表。</w:t>
      </w:r>
    </w:p>
    <w:p>
      <w:pPr>
        <w:spacing w:line="500" w:lineRule="exact"/>
        <w:rPr>
          <w:rFonts w:ascii="宋体" w:hAnsi="宋体"/>
          <w:b/>
          <w:sz w:val="24"/>
        </w:rPr>
      </w:pPr>
      <w:r>
        <w:rPr>
          <w:rFonts w:hint="eastAsia" w:ascii="宋体" w:hAnsi="宋体"/>
          <w:b/>
          <w:sz w:val="24"/>
        </w:rPr>
        <w:t>10、</w:t>
      </w:r>
      <w:bookmarkEnd w:id="53"/>
      <w:bookmarkEnd w:id="54"/>
      <w:bookmarkEnd w:id="55"/>
      <w:r>
        <w:rPr>
          <w:rFonts w:hint="eastAsia" w:ascii="宋体" w:hAnsi="宋体"/>
          <w:b/>
          <w:sz w:val="24"/>
        </w:rPr>
        <w:t>需要补充的其他内容</w:t>
      </w:r>
    </w:p>
    <w:p>
      <w:pPr>
        <w:spacing w:line="500" w:lineRule="exact"/>
        <w:ind w:firstLine="480" w:firstLineChars="200"/>
        <w:rPr>
          <w:rFonts w:ascii="宋体" w:hAnsi="宋体"/>
          <w:sz w:val="24"/>
        </w:rPr>
      </w:pPr>
      <w:r>
        <w:rPr>
          <w:rFonts w:hint="eastAsia" w:ascii="宋体" w:hAnsi="宋体"/>
          <w:sz w:val="24"/>
        </w:rPr>
        <w:t>见投标人须知前附表。</w:t>
      </w:r>
    </w:p>
    <w:p>
      <w:pPr>
        <w:spacing w:line="500" w:lineRule="exact"/>
        <w:rPr>
          <w:rFonts w:ascii="宋体" w:hAnsi="宋体"/>
          <w:b/>
          <w:sz w:val="24"/>
        </w:rPr>
      </w:pPr>
      <w:bookmarkStart w:id="56" w:name="_Toc346013363"/>
      <w:bookmarkStart w:id="57" w:name="_Toc346012820"/>
      <w:bookmarkStart w:id="58" w:name="_Toc346012963"/>
      <w:r>
        <w:rPr>
          <w:rFonts w:hint="eastAsia" w:ascii="宋体" w:hAnsi="宋体"/>
          <w:b/>
          <w:sz w:val="24"/>
        </w:rPr>
        <w:t>11、招标代理服务费：</w:t>
      </w:r>
      <w:bookmarkEnd w:id="56"/>
      <w:bookmarkEnd w:id="57"/>
      <w:bookmarkEnd w:id="58"/>
    </w:p>
    <w:p>
      <w:pPr>
        <w:spacing w:line="360" w:lineRule="auto"/>
        <w:ind w:firstLine="482" w:firstLineChars="200"/>
        <w:rPr>
          <w:rFonts w:ascii="宋体" w:hAnsi="宋体"/>
          <w:sz w:val="24"/>
        </w:rPr>
      </w:pPr>
      <w:r>
        <w:rPr>
          <w:rFonts w:hint="eastAsia" w:ascii="宋体" w:hAnsi="宋体"/>
          <w:b/>
          <w:sz w:val="24"/>
          <w:lang w:val="en-US" w:eastAsia="zh-CN"/>
        </w:rPr>
        <w:t>3500.00</w:t>
      </w:r>
      <w:r>
        <w:rPr>
          <w:rFonts w:hint="eastAsia" w:ascii="宋体" w:hAnsi="宋体"/>
          <w:sz w:val="24"/>
        </w:rPr>
        <w:t>元整，由中标人在领取中标通知书前向招标代理机构缴纳或从投标保证金中扣取。</w:t>
      </w:r>
    </w:p>
    <w:p>
      <w:pPr>
        <w:numPr>
          <w:ilvl w:val="0"/>
          <w:numId w:val="5"/>
        </w:numPr>
        <w:spacing w:line="500" w:lineRule="exact"/>
        <w:rPr>
          <w:rFonts w:ascii="宋体" w:hAnsi="宋体"/>
          <w:b/>
          <w:sz w:val="24"/>
        </w:rPr>
      </w:pPr>
      <w:r>
        <w:rPr>
          <w:rFonts w:hint="eastAsia" w:ascii="宋体" w:hAnsi="宋体"/>
          <w:b/>
          <w:sz w:val="24"/>
        </w:rPr>
        <w:t>本招标文件解释权：</w:t>
      </w:r>
    </w:p>
    <w:p>
      <w:pPr>
        <w:spacing w:line="500" w:lineRule="exact"/>
        <w:rPr>
          <w:rFonts w:ascii="宋体" w:hAnsi="宋体"/>
          <w:bCs/>
          <w:sz w:val="24"/>
        </w:rPr>
      </w:pPr>
      <w:r>
        <w:rPr>
          <w:rFonts w:hint="eastAsia" w:ascii="宋体" w:hAnsi="宋体"/>
          <w:bCs/>
          <w:sz w:val="24"/>
        </w:rPr>
        <w:t xml:space="preserve">    本招标文件的解释权归招标人（招标代理机构）所有。</w:t>
      </w:r>
    </w:p>
    <w:bookmarkEnd w:id="7"/>
    <w:bookmarkEnd w:id="12"/>
    <w:p>
      <w:pPr>
        <w:rPr>
          <w:rFonts w:ascii="宋体" w:hAnsi="宋体" w:cs="Arial"/>
          <w:b/>
          <w:bCs/>
          <w:spacing w:val="20"/>
          <w:kern w:val="0"/>
          <w:position w:val="1"/>
          <w:szCs w:val="44"/>
        </w:rPr>
      </w:pPr>
      <w:bookmarkStart w:id="59" w:name="_Toc356993552"/>
      <w:bookmarkStart w:id="60" w:name="_Toc484070271"/>
      <w:r>
        <w:rPr>
          <w:rFonts w:hint="eastAsia" w:ascii="宋体" w:hAnsi="宋体" w:cs="Arial"/>
          <w:b/>
          <w:bCs/>
          <w:spacing w:val="20"/>
          <w:kern w:val="0"/>
          <w:position w:val="1"/>
          <w:szCs w:val="44"/>
        </w:rPr>
        <w:br w:type="page"/>
      </w:r>
    </w:p>
    <w:p>
      <w:pPr>
        <w:pStyle w:val="3"/>
        <w:keepNext w:val="0"/>
        <w:spacing w:after="312" w:afterLines="100" w:line="460" w:lineRule="exact"/>
        <w:ind w:left="0" w:firstLine="0"/>
        <w:jc w:val="center"/>
        <w:rPr>
          <w:rFonts w:ascii="宋体" w:hAnsi="宋体" w:eastAsia="宋体" w:cs="Arial"/>
          <w:b/>
          <w:bCs/>
          <w:spacing w:val="20"/>
          <w:kern w:val="0"/>
          <w:position w:val="1"/>
          <w:szCs w:val="44"/>
          <w:lang w:bidi="ar-SA"/>
        </w:rPr>
      </w:pPr>
      <w:r>
        <w:rPr>
          <w:rFonts w:hint="eastAsia" w:ascii="宋体" w:hAnsi="宋体" w:eastAsia="宋体" w:cs="Arial"/>
          <w:b/>
          <w:bCs/>
          <w:spacing w:val="20"/>
          <w:kern w:val="0"/>
          <w:position w:val="1"/>
          <w:szCs w:val="44"/>
          <w:lang w:bidi="ar-SA"/>
        </w:rPr>
        <w:t xml:space="preserve">第三章  </w:t>
      </w:r>
      <w:bookmarkEnd w:id="8"/>
      <w:bookmarkEnd w:id="59"/>
      <w:r>
        <w:rPr>
          <w:rFonts w:hint="eastAsia" w:ascii="宋体" w:hAnsi="宋体" w:eastAsia="宋体" w:cs="Arial"/>
          <w:b/>
          <w:bCs/>
          <w:spacing w:val="20"/>
          <w:kern w:val="0"/>
          <w:position w:val="1"/>
          <w:szCs w:val="44"/>
          <w:lang w:bidi="ar-SA"/>
        </w:rPr>
        <w:t>合同</w:t>
      </w:r>
      <w:bookmarkEnd w:id="60"/>
      <w:r>
        <w:rPr>
          <w:rFonts w:hint="eastAsia" w:ascii="宋体" w:hAnsi="宋体" w:eastAsia="宋体" w:cs="Arial"/>
          <w:b/>
          <w:bCs/>
          <w:spacing w:val="20"/>
          <w:kern w:val="0"/>
          <w:position w:val="1"/>
          <w:szCs w:val="44"/>
          <w:lang w:bidi="ar-SA"/>
        </w:rPr>
        <w:t>条款</w:t>
      </w:r>
    </w:p>
    <w:p>
      <w:pPr>
        <w:jc w:val="center"/>
        <w:rPr>
          <w:rFonts w:ascii="黑体" w:hAnsi="黑体" w:eastAsia="黑体"/>
          <w:b/>
          <w:sz w:val="44"/>
          <w:szCs w:val="44"/>
        </w:rPr>
      </w:pPr>
      <w:bookmarkStart w:id="61" w:name="_Toc180993035"/>
      <w:bookmarkStart w:id="62" w:name="_Toc356993553"/>
      <w:bookmarkStart w:id="63" w:name="_Toc484070272"/>
      <w:r>
        <w:rPr>
          <w:rFonts w:hint="eastAsia" w:ascii="黑体" w:hAnsi="黑体" w:eastAsia="黑体"/>
          <w:b/>
          <w:sz w:val="44"/>
          <w:szCs w:val="44"/>
        </w:rPr>
        <w:t>合 同 模 板</w:t>
      </w:r>
    </w:p>
    <w:p>
      <w:pPr>
        <w:spacing w:line="360" w:lineRule="auto"/>
        <w:jc w:val="center"/>
        <w:rPr>
          <w:rFonts w:ascii="宋体" w:hAnsi="宋体"/>
          <w:b/>
          <w:szCs w:val="21"/>
          <w:highlight w:val="green"/>
        </w:rPr>
      </w:pPr>
      <w:r>
        <w:rPr>
          <w:rFonts w:hint="eastAsia" w:ascii="宋体" w:hAnsi="宋体"/>
          <w:b/>
          <w:szCs w:val="21"/>
        </w:rPr>
        <w:t>（本合同仅供参考，中标后以招标人提供的合同范本为准）</w:t>
      </w:r>
    </w:p>
    <w:p>
      <w:pPr>
        <w:wordWrap w:val="0"/>
        <w:spacing w:line="360" w:lineRule="auto"/>
        <w:jc w:val="right"/>
        <w:rPr>
          <w:rFonts w:ascii="宋体" w:hAnsi="宋体" w:cs="Segoe UI"/>
          <w:sz w:val="24"/>
          <w:u w:val="single"/>
        </w:rPr>
      </w:pPr>
      <w:r>
        <w:rPr>
          <w:rFonts w:hint="eastAsia" w:ascii="宋体" w:hAnsi="宋体" w:cs="Segoe UI"/>
          <w:sz w:val="24"/>
        </w:rPr>
        <w:t>甲方合同编号：</w:t>
      </w:r>
      <w:r>
        <w:rPr>
          <w:rFonts w:hint="eastAsia" w:ascii="宋体" w:hAnsi="宋体" w:cs="Segoe UI"/>
          <w:sz w:val="24"/>
          <w:u w:val="single"/>
        </w:rPr>
        <w:t xml:space="preserve">             </w:t>
      </w:r>
    </w:p>
    <w:p>
      <w:pPr>
        <w:wordWrap w:val="0"/>
        <w:spacing w:line="360" w:lineRule="auto"/>
        <w:jc w:val="right"/>
        <w:rPr>
          <w:rFonts w:ascii="宋体" w:hAnsi="宋体" w:cs="Segoe UI"/>
          <w:sz w:val="24"/>
          <w:u w:val="single"/>
        </w:rPr>
      </w:pPr>
      <w:r>
        <w:rPr>
          <w:rFonts w:hint="eastAsia" w:ascii="宋体" w:hAnsi="宋体" w:cs="Segoe UI"/>
          <w:sz w:val="24"/>
        </w:rPr>
        <w:t>乙方合同编号：</w:t>
      </w:r>
      <w:r>
        <w:rPr>
          <w:rFonts w:hint="eastAsia" w:ascii="宋体" w:hAnsi="宋体" w:cs="Segoe UI"/>
          <w:sz w:val="24"/>
          <w:u w:val="single"/>
        </w:rPr>
        <w:t xml:space="preserve">             </w:t>
      </w:r>
    </w:p>
    <w:p>
      <w:pPr>
        <w:spacing w:line="360" w:lineRule="auto"/>
        <w:jc w:val="right"/>
        <w:rPr>
          <w:rFonts w:ascii="宋体" w:hAnsi="宋体" w:cs="Segoe UI"/>
          <w:sz w:val="24"/>
        </w:rPr>
      </w:pPr>
    </w:p>
    <w:p>
      <w:pPr>
        <w:spacing w:line="440" w:lineRule="exact"/>
        <w:jc w:val="left"/>
        <w:rPr>
          <w:rFonts w:ascii="宋体" w:hAnsi="宋体" w:cs="微软雅黑"/>
          <w:sz w:val="24"/>
          <w:lang w:val="zh-TW"/>
        </w:rPr>
      </w:pPr>
      <w:r>
        <w:rPr>
          <w:rFonts w:hint="eastAsia" w:ascii="宋体" w:hAnsi="宋体" w:cs="Segoe UI"/>
          <w:sz w:val="24"/>
        </w:rPr>
        <w:t>甲方（需方）：</w:t>
      </w:r>
    </w:p>
    <w:p>
      <w:pPr>
        <w:spacing w:line="440" w:lineRule="exact"/>
        <w:jc w:val="left"/>
        <w:rPr>
          <w:rFonts w:ascii="宋体" w:hAnsi="宋体" w:cs="Segoe UI"/>
          <w:sz w:val="24"/>
        </w:rPr>
      </w:pPr>
      <w:r>
        <w:rPr>
          <w:rFonts w:hint="eastAsia" w:ascii="宋体" w:hAnsi="宋体" w:cs="Segoe UI"/>
          <w:sz w:val="24"/>
        </w:rPr>
        <w:t>注册/营业地址（邮编）：</w:t>
      </w:r>
    </w:p>
    <w:p>
      <w:pPr>
        <w:spacing w:line="440" w:lineRule="exact"/>
        <w:jc w:val="left"/>
        <w:rPr>
          <w:rFonts w:ascii="宋体" w:hAnsi="宋体" w:cs="Segoe UI"/>
          <w:sz w:val="24"/>
        </w:rPr>
      </w:pPr>
      <w:r>
        <w:rPr>
          <w:rFonts w:hint="eastAsia" w:ascii="宋体" w:hAnsi="宋体" w:cs="Segoe UI"/>
          <w:sz w:val="24"/>
        </w:rPr>
        <w:t>法人代表：</w:t>
      </w:r>
    </w:p>
    <w:p>
      <w:pPr>
        <w:spacing w:line="440" w:lineRule="exact"/>
        <w:jc w:val="left"/>
        <w:rPr>
          <w:rFonts w:ascii="宋体" w:hAnsi="宋体" w:cs="Segoe UI"/>
          <w:sz w:val="24"/>
        </w:rPr>
      </w:pPr>
      <w:r>
        <w:rPr>
          <w:rFonts w:hint="eastAsia" w:ascii="宋体" w:hAnsi="宋体" w:cs="Segoe UI"/>
          <w:sz w:val="24"/>
        </w:rPr>
        <w:t>合同联系人：</w:t>
      </w:r>
    </w:p>
    <w:p>
      <w:pPr>
        <w:spacing w:line="440" w:lineRule="exact"/>
        <w:jc w:val="left"/>
        <w:rPr>
          <w:rFonts w:ascii="宋体" w:hAnsi="宋体" w:cs="Segoe UI"/>
          <w:sz w:val="24"/>
        </w:rPr>
      </w:pPr>
      <w:r>
        <w:rPr>
          <w:rFonts w:hint="eastAsia" w:ascii="宋体" w:hAnsi="宋体" w:cs="Segoe UI"/>
          <w:sz w:val="24"/>
        </w:rPr>
        <w:t xml:space="preserve">联系电话： </w:t>
      </w:r>
    </w:p>
    <w:p>
      <w:pPr>
        <w:spacing w:line="440" w:lineRule="exact"/>
        <w:jc w:val="left"/>
        <w:rPr>
          <w:rFonts w:ascii="宋体" w:hAnsi="宋体" w:cs="Segoe UI"/>
          <w:sz w:val="24"/>
        </w:rPr>
      </w:pPr>
    </w:p>
    <w:p>
      <w:pPr>
        <w:spacing w:line="440" w:lineRule="exact"/>
        <w:jc w:val="left"/>
        <w:rPr>
          <w:rFonts w:ascii="宋体" w:hAnsi="宋体" w:cs="Segoe UI"/>
          <w:sz w:val="24"/>
        </w:rPr>
      </w:pPr>
      <w:r>
        <w:rPr>
          <w:rFonts w:hint="eastAsia" w:ascii="宋体" w:hAnsi="宋体" w:cs="Segoe UI"/>
          <w:sz w:val="24"/>
        </w:rPr>
        <w:t>乙方（供方）：</w:t>
      </w:r>
      <w:r>
        <w:rPr>
          <w:rFonts w:hint="eastAsia" w:ascii="宋体" w:hAnsi="宋体" w:cs="Segoe UI"/>
          <w:sz w:val="24"/>
        </w:rPr>
        <w:cr/>
      </w:r>
      <w:r>
        <w:rPr>
          <w:rFonts w:hint="eastAsia" w:ascii="宋体" w:hAnsi="宋体" w:cs="Segoe UI"/>
          <w:sz w:val="24"/>
        </w:rPr>
        <w:t>注册/营业地址（邮编）：</w:t>
      </w:r>
      <w:r>
        <w:rPr>
          <w:rFonts w:hint="eastAsia" w:ascii="宋体" w:hAnsi="宋体" w:cs="Segoe UI"/>
          <w:sz w:val="24"/>
        </w:rPr>
        <w:cr/>
      </w:r>
      <w:r>
        <w:rPr>
          <w:rFonts w:hint="eastAsia" w:ascii="宋体" w:hAnsi="宋体" w:cs="Segoe UI"/>
          <w:sz w:val="24"/>
        </w:rPr>
        <w:t xml:space="preserve">法人代表： </w:t>
      </w:r>
      <w:r>
        <w:rPr>
          <w:rFonts w:hint="eastAsia" w:ascii="宋体" w:hAnsi="宋体" w:cs="Segoe UI"/>
          <w:sz w:val="24"/>
        </w:rPr>
        <w:cr/>
      </w:r>
      <w:r>
        <w:rPr>
          <w:rFonts w:hint="eastAsia" w:ascii="宋体" w:hAnsi="宋体" w:cs="Segoe UI"/>
          <w:sz w:val="24"/>
        </w:rPr>
        <w:t xml:space="preserve">合同联系人： </w:t>
      </w:r>
      <w:r>
        <w:rPr>
          <w:rFonts w:hint="eastAsia" w:ascii="宋体" w:hAnsi="宋体" w:cs="Segoe UI"/>
          <w:sz w:val="24"/>
        </w:rPr>
        <w:cr/>
      </w:r>
      <w:r>
        <w:rPr>
          <w:rFonts w:hint="eastAsia" w:ascii="宋体" w:hAnsi="宋体" w:cs="Segoe UI"/>
          <w:sz w:val="24"/>
        </w:rPr>
        <w:t>联系电话：</w:t>
      </w:r>
    </w:p>
    <w:p>
      <w:pPr>
        <w:spacing w:line="480" w:lineRule="exact"/>
        <w:jc w:val="left"/>
        <w:rPr>
          <w:rFonts w:ascii="宋体" w:hAnsi="宋体" w:cs="Segoe UI"/>
          <w:sz w:val="24"/>
        </w:rPr>
      </w:pPr>
    </w:p>
    <w:p>
      <w:pPr>
        <w:spacing w:line="480" w:lineRule="exact"/>
        <w:ind w:firstLine="484" w:firstLineChars="202"/>
        <w:jc w:val="left"/>
        <w:rPr>
          <w:rFonts w:ascii="宋体" w:hAnsi="宋体" w:cs="Segoe UI"/>
          <w:sz w:val="24"/>
        </w:rPr>
      </w:pPr>
      <w:r>
        <w:rPr>
          <w:rFonts w:ascii="宋体" w:hAnsi="宋体" w:cs="Segoe UI"/>
          <w:sz w:val="24"/>
        </w:rPr>
        <w:t>根据《中华人民共和国</w:t>
      </w:r>
      <w:r>
        <w:rPr>
          <w:rFonts w:hint="eastAsia" w:ascii="宋体" w:hAnsi="宋体" w:cs="Segoe UI"/>
          <w:sz w:val="24"/>
        </w:rPr>
        <w:t>民法典</w:t>
      </w:r>
      <w:r>
        <w:rPr>
          <w:rFonts w:ascii="宋体" w:hAnsi="宋体" w:cs="Segoe UI"/>
          <w:sz w:val="24"/>
        </w:rPr>
        <w:t>》及其他有关法律、法规之规定，甲乙双方经协商一致，订立本合同，以资共同遵照执行。</w:t>
      </w:r>
    </w:p>
    <w:p>
      <w:pPr>
        <w:pStyle w:val="3"/>
        <w:numPr>
          <w:ilvl w:val="0"/>
          <w:numId w:val="6"/>
        </w:numPr>
        <w:spacing w:before="156" w:beforeLines="50" w:after="156" w:afterLines="50" w:line="240" w:lineRule="atLeast"/>
        <w:jc w:val="left"/>
        <w:rPr>
          <w:rFonts w:ascii="宋体" w:hAnsi="宋体" w:eastAsia="宋体" w:cs="Segoe UI"/>
          <w:sz w:val="24"/>
          <w:szCs w:val="24"/>
        </w:rPr>
      </w:pPr>
      <w:r>
        <w:rPr>
          <w:rFonts w:hint="eastAsia" w:ascii="宋体" w:hAnsi="宋体" w:eastAsia="宋体" w:cs="Segoe UI"/>
          <w:b/>
          <w:bCs/>
          <w:sz w:val="24"/>
          <w:szCs w:val="24"/>
        </w:rPr>
        <w:t>供货内容（配置清单详见附件）</w:t>
      </w:r>
    </w:p>
    <w:p>
      <w:pPr>
        <w:spacing w:line="480" w:lineRule="exact"/>
        <w:ind w:firstLine="484" w:firstLineChars="202"/>
        <w:jc w:val="left"/>
        <w:rPr>
          <w:rFonts w:ascii="宋体" w:hAnsi="宋体" w:cs="Segoe UI"/>
          <w:sz w:val="24"/>
        </w:rPr>
      </w:pPr>
      <w:r>
        <w:rPr>
          <w:rFonts w:hint="eastAsia" w:ascii="宋体" w:hAnsi="宋体" w:cs="Segoe UI"/>
          <w:sz w:val="24"/>
        </w:rPr>
        <w:t>本合同乙方提供符合投标文件及相关承诺的清单内所有货物及相关服务</w:t>
      </w:r>
      <w:r>
        <w:rPr>
          <w:rFonts w:ascii="宋体" w:hAnsi="宋体" w:cs="Segoe UI"/>
          <w:sz w:val="24"/>
        </w:rPr>
        <w:t>给甲方</w:t>
      </w:r>
      <w:r>
        <w:rPr>
          <w:rFonts w:hint="eastAsia" w:ascii="宋体" w:hAnsi="宋体" w:cs="Segoe UI"/>
          <w:sz w:val="24"/>
        </w:rPr>
        <w:t>。本合同签署后，甲方通过订单、增补订单等形式，另行订购或追加订购产品的，双方如未另行签署书面合同的，除双方另有明确约定外，所进行的买卖仍应按照本合同约定执行。</w:t>
      </w:r>
    </w:p>
    <w:p>
      <w:pPr>
        <w:pStyle w:val="3"/>
        <w:numPr>
          <w:ilvl w:val="0"/>
          <w:numId w:val="6"/>
        </w:numPr>
        <w:spacing w:before="156" w:beforeLines="50" w:after="156" w:afterLines="50" w:line="240" w:lineRule="atLeast"/>
        <w:jc w:val="left"/>
        <w:rPr>
          <w:rFonts w:ascii="宋体" w:hAnsi="宋体" w:eastAsia="宋体" w:cs="Segoe UI"/>
          <w:b/>
          <w:bCs/>
          <w:sz w:val="24"/>
          <w:szCs w:val="24"/>
        </w:rPr>
      </w:pPr>
      <w:r>
        <w:rPr>
          <w:rFonts w:hint="eastAsia" w:ascii="宋体" w:hAnsi="宋体" w:eastAsia="宋体" w:cs="Segoe UI"/>
          <w:b/>
          <w:bCs/>
          <w:sz w:val="24"/>
          <w:szCs w:val="24"/>
        </w:rPr>
        <w:t>收货事项</w:t>
      </w:r>
      <w:r>
        <w:rPr>
          <w:rFonts w:ascii="宋体" w:hAnsi="宋体" w:eastAsia="宋体" w:cs="Segoe UI"/>
          <w:b/>
          <w:bCs/>
          <w:sz w:val="24"/>
          <w:szCs w:val="24"/>
        </w:rPr>
        <w:t xml:space="preserve"> </w:t>
      </w:r>
    </w:p>
    <w:p>
      <w:pPr>
        <w:pStyle w:val="130"/>
        <w:tabs>
          <w:tab w:val="left" w:pos="426"/>
        </w:tabs>
        <w:spacing w:line="480" w:lineRule="exact"/>
        <w:rPr>
          <w:rFonts w:hint="default" w:ascii="宋体" w:hAnsi="宋体" w:eastAsia="宋体" w:cs="Segoe UI"/>
          <w:b/>
          <w:color w:val="auto"/>
          <w:kern w:val="0"/>
          <w:sz w:val="24"/>
          <w:szCs w:val="24"/>
          <w:lang w:val="en-GB"/>
        </w:rPr>
      </w:pPr>
      <w:r>
        <w:rPr>
          <w:rFonts w:ascii="宋体" w:hAnsi="宋体" w:eastAsia="宋体" w:cs="Segoe UI"/>
          <w:b/>
          <w:color w:val="auto"/>
          <w:kern w:val="0"/>
          <w:sz w:val="24"/>
          <w:szCs w:val="24"/>
          <w:lang w:val="en-GB"/>
        </w:rPr>
        <w:t>1、收货信息</w:t>
      </w:r>
    </w:p>
    <w:p>
      <w:pPr>
        <w:spacing w:line="480" w:lineRule="exact"/>
        <w:ind w:firstLine="484" w:firstLineChars="202"/>
        <w:jc w:val="left"/>
        <w:rPr>
          <w:rFonts w:ascii="宋体" w:hAnsi="宋体" w:cs="Segoe UI"/>
          <w:sz w:val="24"/>
        </w:rPr>
      </w:pPr>
      <w:r>
        <w:rPr>
          <w:rFonts w:hint="eastAsia" w:ascii="宋体" w:hAnsi="宋体" w:cs="Segoe UI"/>
          <w:sz w:val="24"/>
        </w:rPr>
        <w:t>甲方确认，最终用户（指甲方指定的接收货物方，也可为甲方自身）、交货地址和联系人如下：</w:t>
      </w:r>
    </w:p>
    <w:tbl>
      <w:tblPr>
        <w:tblStyle w:val="39"/>
        <w:tblW w:w="848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9"/>
        <w:gridCol w:w="2268"/>
        <w:gridCol w:w="1984"/>
        <w:gridCol w:w="2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5" w:hRule="atLeast"/>
        </w:trPr>
        <w:tc>
          <w:tcPr>
            <w:tcW w:w="20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30"/>
              <w:spacing w:line="480" w:lineRule="exact"/>
              <w:jc w:val="center"/>
              <w:rPr>
                <w:rFonts w:hint="default" w:ascii="宋体" w:hAnsi="宋体" w:eastAsia="宋体" w:cs="微软雅黑"/>
                <w:b/>
                <w:sz w:val="24"/>
                <w:szCs w:val="24"/>
                <w:lang w:val="zh-TW" w:eastAsia="zh-TW"/>
              </w:rPr>
            </w:pPr>
            <w:r>
              <w:rPr>
                <w:rFonts w:ascii="宋体" w:hAnsi="宋体" w:eastAsia="宋体" w:cs="微软雅黑"/>
                <w:b/>
                <w:sz w:val="24"/>
                <w:szCs w:val="24"/>
                <w:lang w:val="zh-TW" w:eastAsia="zh-TW"/>
              </w:rPr>
              <w:t>指定收货单位：</w:t>
            </w:r>
          </w:p>
        </w:tc>
        <w:tc>
          <w:tcPr>
            <w:tcW w:w="6381"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80" w:lineRule="exact"/>
              <w:rPr>
                <w:rFonts w:ascii="宋体" w:hAnsi="宋体" w:cs="微软雅黑"/>
                <w:color w:val="000000"/>
                <w:sz w:val="24"/>
                <w:lang w:val="zh-TW"/>
              </w:rPr>
            </w:pPr>
            <w:r>
              <w:rPr>
                <w:rFonts w:hint="eastAsia" w:ascii="宋体" w:hAnsi="宋体" w:cs="微软雅黑"/>
                <w:color w:val="000000"/>
                <w:sz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7" w:hRule="atLeast"/>
        </w:trPr>
        <w:tc>
          <w:tcPr>
            <w:tcW w:w="20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30"/>
              <w:spacing w:line="480" w:lineRule="exact"/>
              <w:jc w:val="center"/>
              <w:rPr>
                <w:rFonts w:hint="default" w:ascii="宋体" w:hAnsi="宋体" w:eastAsia="宋体"/>
                <w:b/>
                <w:color w:val="auto"/>
                <w:sz w:val="24"/>
                <w:szCs w:val="24"/>
              </w:rPr>
            </w:pPr>
            <w:r>
              <w:rPr>
                <w:rFonts w:ascii="宋体" w:hAnsi="宋体" w:eastAsia="宋体" w:cs="微软雅黑"/>
                <w:b/>
                <w:color w:val="auto"/>
                <w:sz w:val="24"/>
                <w:szCs w:val="24"/>
                <w:lang w:val="zh-TW" w:eastAsia="zh-TW"/>
              </w:rPr>
              <w:t>指定收货地址：</w:t>
            </w:r>
          </w:p>
        </w:tc>
        <w:tc>
          <w:tcPr>
            <w:tcW w:w="6381"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30"/>
              <w:spacing w:line="480" w:lineRule="exact"/>
              <w:rPr>
                <w:rFonts w:hint="default" w:ascii="宋体" w:hAnsi="宋体" w:eastAsia="宋体" w:cs="微软雅黑"/>
                <w:color w:val="auto"/>
                <w:sz w:val="24"/>
                <w:szCs w:val="24"/>
                <w:lang w:val="zh-TW"/>
              </w:rPr>
            </w:pPr>
            <w:r>
              <w:rPr>
                <w:rFonts w:ascii="宋体" w:hAnsi="宋体" w:eastAsia="宋体" w:cs="微软雅黑"/>
                <w:color w:val="auto"/>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9" w:hRule="atLeast"/>
        </w:trPr>
        <w:tc>
          <w:tcPr>
            <w:tcW w:w="20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30"/>
              <w:spacing w:line="480" w:lineRule="exact"/>
              <w:jc w:val="center"/>
              <w:rPr>
                <w:rFonts w:hint="default" w:ascii="宋体" w:hAnsi="宋体" w:eastAsia="宋体"/>
                <w:b/>
                <w:color w:val="auto"/>
                <w:sz w:val="24"/>
                <w:szCs w:val="24"/>
              </w:rPr>
            </w:pPr>
            <w:r>
              <w:rPr>
                <w:rFonts w:ascii="宋体" w:hAnsi="宋体" w:eastAsia="宋体" w:cs="微软雅黑"/>
                <w:b/>
                <w:color w:val="auto"/>
                <w:sz w:val="24"/>
                <w:szCs w:val="24"/>
                <w:lang w:val="zh-TW" w:eastAsia="zh-TW"/>
              </w:rPr>
              <w:t>联系电话：</w:t>
            </w:r>
          </w:p>
        </w:tc>
        <w:tc>
          <w:tcPr>
            <w:tcW w:w="226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30"/>
              <w:spacing w:line="480" w:lineRule="exact"/>
              <w:rPr>
                <w:rFonts w:hint="default" w:ascii="宋体" w:hAnsi="宋体" w:eastAsia="宋体" w:cs="微软雅黑"/>
                <w:color w:val="auto"/>
                <w:sz w:val="24"/>
                <w:szCs w:val="24"/>
                <w:lang w:val="zh-TW"/>
              </w:rPr>
            </w:pPr>
          </w:p>
        </w:tc>
        <w:tc>
          <w:tcPr>
            <w:tcW w:w="19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30"/>
              <w:spacing w:line="480" w:lineRule="exact"/>
              <w:jc w:val="center"/>
              <w:rPr>
                <w:rFonts w:hint="default" w:ascii="宋体" w:hAnsi="宋体" w:eastAsia="宋体" w:cs="微软雅黑"/>
                <w:b/>
                <w:color w:val="auto"/>
                <w:sz w:val="24"/>
                <w:szCs w:val="24"/>
                <w:lang w:val="zh-TW" w:eastAsia="zh-TW"/>
              </w:rPr>
            </w:pPr>
            <w:r>
              <w:rPr>
                <w:rFonts w:ascii="宋体" w:hAnsi="宋体" w:eastAsia="宋体" w:cs="微软雅黑"/>
                <w:b/>
                <w:color w:val="auto"/>
                <w:sz w:val="24"/>
                <w:szCs w:val="24"/>
                <w:lang w:val="zh-TW" w:eastAsia="zh-TW"/>
              </w:rPr>
              <w:t>指定收货人：</w:t>
            </w:r>
          </w:p>
        </w:tc>
        <w:tc>
          <w:tcPr>
            <w:tcW w:w="212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80" w:lineRule="exact"/>
              <w:rPr>
                <w:rFonts w:ascii="宋体" w:hAnsi="宋体" w:cs="微软雅黑"/>
                <w:sz w:val="24"/>
                <w:lang w:val="zh-TW"/>
              </w:rPr>
            </w:pPr>
          </w:p>
        </w:tc>
      </w:tr>
    </w:tbl>
    <w:p>
      <w:pPr>
        <w:pStyle w:val="120"/>
        <w:framePr w:wrap="auto" w:vAnchor="margin" w:hAnchor="text" w:yAlign="inline"/>
        <w:spacing w:line="480" w:lineRule="exact"/>
        <w:ind w:firstLine="484" w:firstLineChars="202"/>
        <w:rPr>
          <w:rFonts w:cs="微软雅黑"/>
          <w:sz w:val="24"/>
          <w:szCs w:val="24"/>
          <w:lang w:val="zh-TW"/>
        </w:rPr>
      </w:pPr>
      <w:r>
        <w:rPr>
          <w:rFonts w:cs="微软雅黑"/>
          <w:sz w:val="24"/>
          <w:szCs w:val="24"/>
          <w:lang w:val="zh-TW" w:eastAsia="zh-TW"/>
        </w:rPr>
        <w:t>甲方同意，乙方将产品运至上述地址即视为乙方向甲方交付货物。</w:t>
      </w:r>
    </w:p>
    <w:p>
      <w:pPr>
        <w:pStyle w:val="130"/>
        <w:tabs>
          <w:tab w:val="left" w:pos="426"/>
        </w:tabs>
        <w:spacing w:line="480" w:lineRule="exact"/>
        <w:rPr>
          <w:rFonts w:hint="default" w:ascii="宋体" w:hAnsi="宋体" w:eastAsia="宋体" w:cs="Segoe UI"/>
          <w:b/>
          <w:color w:val="auto"/>
          <w:kern w:val="0"/>
          <w:sz w:val="24"/>
          <w:szCs w:val="24"/>
          <w:lang w:val="en-GB"/>
        </w:rPr>
      </w:pPr>
      <w:r>
        <w:rPr>
          <w:rFonts w:ascii="宋体" w:hAnsi="宋体" w:eastAsia="宋体" w:cs="Segoe UI"/>
          <w:b/>
          <w:color w:val="auto"/>
          <w:kern w:val="0"/>
          <w:sz w:val="24"/>
          <w:szCs w:val="24"/>
          <w:lang w:val="en-GB"/>
        </w:rPr>
        <w:t>2、签收方式：</w:t>
      </w:r>
    </w:p>
    <w:p>
      <w:pPr>
        <w:pStyle w:val="130"/>
        <w:spacing w:line="480" w:lineRule="exact"/>
        <w:ind w:firstLine="420"/>
        <w:rPr>
          <w:rFonts w:hint="default" w:ascii="宋体" w:hAnsi="宋体" w:eastAsia="宋体" w:cs="微软雅黑"/>
          <w:sz w:val="24"/>
          <w:szCs w:val="24"/>
          <w:lang w:eastAsia="zh-TW"/>
        </w:rPr>
      </w:pPr>
      <w:r>
        <w:rPr>
          <w:rFonts w:ascii="宋体" w:hAnsi="宋体" w:eastAsia="宋体" w:cs="微软雅黑"/>
          <w:sz w:val="24"/>
          <w:szCs w:val="24"/>
          <w:lang w:val="zh-TW" w:eastAsia="zh-TW"/>
        </w:rPr>
        <w:t>甲方或甲方指定的收货</w:t>
      </w:r>
      <w:r>
        <w:rPr>
          <w:rFonts w:ascii="宋体" w:hAnsi="宋体" w:eastAsia="宋体" w:cs="微软雅黑"/>
          <w:sz w:val="24"/>
          <w:szCs w:val="24"/>
        </w:rPr>
        <w:t>人</w:t>
      </w:r>
      <w:r>
        <w:rPr>
          <w:rFonts w:ascii="宋体" w:hAnsi="宋体" w:eastAsia="宋体" w:cs="微软雅黑"/>
          <w:sz w:val="24"/>
          <w:szCs w:val="24"/>
          <w:lang w:val="zh-TW" w:eastAsia="zh-TW"/>
        </w:rPr>
        <w:t>在收到货物后，应当立即对货物进行签收，</w:t>
      </w:r>
      <w:r>
        <w:rPr>
          <w:rFonts w:ascii="宋体" w:hAnsi="宋体" w:eastAsia="宋体" w:cs="微软雅黑"/>
          <w:sz w:val="24"/>
          <w:szCs w:val="24"/>
          <w:lang w:val="zh-TW"/>
        </w:rPr>
        <w:t>且</w:t>
      </w:r>
      <w:r>
        <w:rPr>
          <w:rFonts w:ascii="宋体" w:hAnsi="宋体" w:eastAsia="宋体" w:cs="微软雅黑"/>
          <w:sz w:val="24"/>
          <w:szCs w:val="24"/>
          <w:lang w:val="zh-TW" w:eastAsia="zh-TW"/>
        </w:rPr>
        <w:t>应在收货单据上</w:t>
      </w:r>
      <w:r>
        <w:rPr>
          <w:rFonts w:ascii="宋体" w:hAnsi="宋体" w:eastAsia="宋体" w:cs="微软雅黑"/>
          <w:sz w:val="24"/>
          <w:szCs w:val="24"/>
          <w:lang w:val="zh-TW"/>
        </w:rPr>
        <w:t>签字并</w:t>
      </w:r>
      <w:r>
        <w:rPr>
          <w:rFonts w:ascii="宋体" w:hAnsi="宋体" w:eastAsia="宋体" w:cs="微软雅黑"/>
          <w:sz w:val="24"/>
          <w:szCs w:val="24"/>
          <w:lang w:val="zh-TW" w:eastAsia="zh-TW"/>
        </w:rPr>
        <w:t>加盖其公章或收货专用章或其指定印章，以示确认收到合同项下货物。</w:t>
      </w:r>
    </w:p>
    <w:p>
      <w:pPr>
        <w:pStyle w:val="3"/>
        <w:numPr>
          <w:ilvl w:val="0"/>
          <w:numId w:val="6"/>
        </w:numPr>
        <w:spacing w:before="156" w:beforeLines="50" w:after="156" w:afterLines="50" w:line="480" w:lineRule="exact"/>
        <w:jc w:val="left"/>
        <w:rPr>
          <w:rFonts w:ascii="宋体" w:hAnsi="宋体" w:eastAsia="宋体" w:cs="Segoe UI"/>
          <w:b/>
          <w:bCs/>
          <w:sz w:val="24"/>
          <w:szCs w:val="24"/>
        </w:rPr>
      </w:pPr>
      <w:r>
        <w:rPr>
          <w:rFonts w:ascii="宋体" w:hAnsi="宋体" w:eastAsia="宋体" w:cs="Segoe UI"/>
          <w:b/>
          <w:bCs/>
          <w:sz w:val="24"/>
          <w:szCs w:val="24"/>
        </w:rPr>
        <w:t>交货的时间、方式</w:t>
      </w:r>
    </w:p>
    <w:p>
      <w:pPr>
        <w:pStyle w:val="130"/>
        <w:tabs>
          <w:tab w:val="left" w:pos="426"/>
        </w:tabs>
        <w:spacing w:line="480" w:lineRule="exact"/>
        <w:rPr>
          <w:rFonts w:hint="default" w:ascii="宋体" w:hAnsi="宋体" w:eastAsia="宋体" w:cs="微软雅黑"/>
          <w:sz w:val="24"/>
          <w:szCs w:val="24"/>
        </w:rPr>
      </w:pPr>
      <w:r>
        <w:rPr>
          <w:rFonts w:ascii="宋体" w:hAnsi="宋体" w:eastAsia="宋体" w:cs="Segoe UI"/>
          <w:b/>
          <w:color w:val="auto"/>
          <w:kern w:val="0"/>
          <w:sz w:val="24"/>
          <w:szCs w:val="24"/>
          <w:lang w:val="en-GB"/>
        </w:rPr>
        <w:t>1、交货时间为</w:t>
      </w:r>
      <w:r>
        <w:rPr>
          <w:rFonts w:ascii="宋体" w:hAnsi="宋体" w:eastAsia="宋体" w:cs="微软雅黑"/>
          <w:sz w:val="24"/>
          <w:szCs w:val="24"/>
          <w:lang w:eastAsia="zh-TW"/>
        </w:rPr>
        <w:t>：</w:t>
      </w:r>
      <w:r>
        <w:rPr>
          <w:rFonts w:ascii="宋体" w:hAnsi="宋体" w:eastAsia="宋体" w:cs="微软雅黑"/>
          <w:sz w:val="24"/>
          <w:szCs w:val="24"/>
        </w:rPr>
        <w:t>签订的合同生效后</w:t>
      </w:r>
      <w:r>
        <w:rPr>
          <w:rFonts w:ascii="宋体" w:hAnsi="宋体" w:eastAsia="宋体" w:cs="微软雅黑"/>
          <w:b/>
          <w:bCs/>
          <w:sz w:val="24"/>
          <w:szCs w:val="24"/>
          <w:u w:val="single"/>
        </w:rPr>
        <w:t xml:space="preserve">    </w:t>
      </w:r>
      <w:r>
        <w:rPr>
          <w:rFonts w:ascii="宋体" w:hAnsi="宋体" w:eastAsia="宋体" w:cs="微软雅黑"/>
          <w:sz w:val="24"/>
          <w:szCs w:val="24"/>
          <w:lang w:eastAsia="zh-TW"/>
        </w:rPr>
        <w:t>日内将</w:t>
      </w:r>
      <w:r>
        <w:rPr>
          <w:rFonts w:ascii="宋体" w:hAnsi="宋体" w:eastAsia="宋体" w:cs="微软雅黑"/>
          <w:sz w:val="24"/>
          <w:szCs w:val="24"/>
        </w:rPr>
        <w:t>合同标的</w:t>
      </w:r>
      <w:r>
        <w:rPr>
          <w:rFonts w:ascii="宋体" w:hAnsi="宋体" w:eastAsia="宋体" w:cs="微软雅黑"/>
          <w:sz w:val="24"/>
          <w:szCs w:val="24"/>
          <w:lang w:eastAsia="zh-TW"/>
        </w:rPr>
        <w:t>产品运至甲方指定的交货地点，甲方或甲方指定的最终用户应接收产品。</w:t>
      </w:r>
    </w:p>
    <w:p>
      <w:pPr>
        <w:pStyle w:val="130"/>
        <w:tabs>
          <w:tab w:val="left" w:pos="426"/>
        </w:tabs>
        <w:spacing w:line="480" w:lineRule="exact"/>
        <w:rPr>
          <w:rFonts w:hint="default" w:ascii="宋体" w:hAnsi="宋体" w:eastAsia="宋体" w:cs="Helvetica"/>
          <w:sz w:val="24"/>
          <w:szCs w:val="24"/>
        </w:rPr>
      </w:pPr>
      <w:r>
        <w:rPr>
          <w:rFonts w:ascii="宋体" w:hAnsi="宋体" w:eastAsia="宋体" w:cs="Segoe UI"/>
          <w:b/>
          <w:color w:val="auto"/>
          <w:kern w:val="0"/>
          <w:sz w:val="24"/>
          <w:szCs w:val="24"/>
          <w:lang w:val="en-GB"/>
        </w:rPr>
        <w:t>2、交货方式</w:t>
      </w:r>
      <w:r>
        <w:rPr>
          <w:rFonts w:ascii="宋体" w:hAnsi="宋体" w:eastAsia="宋体" w:cs="微软雅黑"/>
          <w:sz w:val="24"/>
          <w:szCs w:val="24"/>
          <w:lang w:eastAsia="zh-TW"/>
        </w:rPr>
        <w:t>：</w:t>
      </w:r>
      <w:r>
        <w:rPr>
          <w:rFonts w:ascii="宋体" w:hAnsi="宋体" w:eastAsia="宋体" w:cs="微软雅黑"/>
          <w:sz w:val="24"/>
          <w:szCs w:val="24"/>
        </w:rPr>
        <w:t>送货上门</w:t>
      </w:r>
      <w:r>
        <w:rPr>
          <w:rFonts w:ascii="宋体" w:hAnsi="宋体" w:eastAsia="宋体" w:cs="微软雅黑"/>
          <w:sz w:val="24"/>
          <w:szCs w:val="24"/>
          <w:lang w:eastAsia="zh-TW"/>
        </w:rPr>
        <w:t>，</w:t>
      </w:r>
      <w:r>
        <w:rPr>
          <w:rFonts w:ascii="宋体" w:hAnsi="宋体" w:eastAsia="宋体" w:cs="微软雅黑"/>
          <w:sz w:val="24"/>
          <w:szCs w:val="24"/>
        </w:rPr>
        <w:t>送货</w:t>
      </w:r>
      <w:r>
        <w:rPr>
          <w:rFonts w:ascii="宋体" w:hAnsi="宋体" w:eastAsia="宋体" w:cs="微软雅黑"/>
          <w:sz w:val="24"/>
          <w:szCs w:val="24"/>
          <w:lang w:eastAsia="zh-TW"/>
        </w:rPr>
        <w:t>地点为</w:t>
      </w:r>
      <w:r>
        <w:rPr>
          <w:rFonts w:ascii="宋体" w:hAnsi="宋体" w:eastAsia="宋体" w:cs="微软雅黑"/>
          <w:sz w:val="24"/>
          <w:szCs w:val="24"/>
          <w:u w:val="single"/>
        </w:rPr>
        <w:t xml:space="preserve">      </w:t>
      </w:r>
      <w:r>
        <w:rPr>
          <w:rFonts w:ascii="宋体" w:hAnsi="宋体" w:eastAsia="宋体" w:cs="微软雅黑"/>
          <w:sz w:val="24"/>
          <w:szCs w:val="24"/>
          <w:u w:val="single"/>
          <w:lang w:val="zh-TW"/>
        </w:rPr>
        <w:t xml:space="preserve"> </w:t>
      </w:r>
      <w:r>
        <w:rPr>
          <w:rFonts w:ascii="宋体" w:hAnsi="宋体" w:eastAsia="宋体" w:cs="微软雅黑"/>
          <w:sz w:val="24"/>
          <w:szCs w:val="24"/>
          <w:u w:val="single"/>
        </w:rPr>
        <w:t xml:space="preserve">  </w:t>
      </w:r>
      <w:r>
        <w:rPr>
          <w:rFonts w:ascii="宋体" w:hAnsi="宋体" w:eastAsia="宋体" w:cs="微软雅黑"/>
          <w:sz w:val="24"/>
          <w:szCs w:val="24"/>
          <w:lang w:eastAsia="zh-TW"/>
        </w:rPr>
        <w:t>。对于本合同项下货物，乙方一次性交货。</w:t>
      </w:r>
    </w:p>
    <w:p>
      <w:pPr>
        <w:pStyle w:val="130"/>
        <w:tabs>
          <w:tab w:val="left" w:pos="426"/>
        </w:tabs>
        <w:spacing w:line="480" w:lineRule="exact"/>
        <w:rPr>
          <w:rFonts w:hint="default" w:ascii="宋体" w:hAnsi="宋体" w:eastAsia="宋体" w:cs="Helvetica"/>
          <w:sz w:val="24"/>
          <w:szCs w:val="24"/>
          <w:lang w:eastAsia="zh-TW"/>
        </w:rPr>
      </w:pPr>
      <w:r>
        <w:rPr>
          <w:rFonts w:ascii="宋体" w:hAnsi="宋体" w:eastAsia="宋体" w:cs="Segoe UI"/>
          <w:b/>
          <w:color w:val="auto"/>
          <w:kern w:val="0"/>
          <w:sz w:val="24"/>
          <w:szCs w:val="24"/>
          <w:lang w:val="en-GB"/>
        </w:rPr>
        <w:t>3、运输方式</w:t>
      </w:r>
      <w:r>
        <w:rPr>
          <w:rFonts w:ascii="宋体" w:hAnsi="宋体" w:eastAsia="宋体" w:cs="微软雅黑"/>
          <w:sz w:val="24"/>
          <w:szCs w:val="24"/>
          <w:lang w:eastAsia="zh-TW"/>
        </w:rPr>
        <w:t>：</w:t>
      </w:r>
      <w:r>
        <w:rPr>
          <w:rFonts w:ascii="宋体" w:hAnsi="宋体" w:eastAsia="宋体" w:cs="微软雅黑"/>
          <w:sz w:val="24"/>
          <w:szCs w:val="24"/>
          <w:u w:val="single"/>
        </w:rPr>
        <w:t xml:space="preserve">       </w:t>
      </w:r>
      <w:r>
        <w:rPr>
          <w:rFonts w:ascii="宋体" w:hAnsi="宋体" w:eastAsia="宋体" w:cs="微软雅黑"/>
          <w:sz w:val="24"/>
          <w:szCs w:val="24"/>
          <w:lang w:eastAsia="zh-TW"/>
        </w:rPr>
        <w:t>（汽运、海运、空运等）</w:t>
      </w:r>
      <w:r>
        <w:rPr>
          <w:rFonts w:ascii="宋体" w:hAnsi="宋体" w:eastAsia="宋体" w:cs="微软雅黑"/>
          <w:sz w:val="24"/>
          <w:szCs w:val="24"/>
        </w:rPr>
        <w:t>，运费由</w:t>
      </w:r>
      <w:r>
        <w:rPr>
          <w:rFonts w:hint="default" w:ascii="宋体" w:hAnsi="宋体" w:eastAsia="宋体" w:cs="微软雅黑"/>
          <w:sz w:val="24"/>
          <w:szCs w:val="24"/>
          <w:u w:val="single"/>
        </w:rPr>
        <w:t xml:space="preserve">  </w:t>
      </w:r>
      <w:r>
        <w:rPr>
          <w:rFonts w:ascii="宋体" w:hAnsi="宋体" w:eastAsia="宋体" w:cs="微软雅黑"/>
          <w:sz w:val="24"/>
          <w:szCs w:val="24"/>
          <w:u w:val="single"/>
        </w:rPr>
        <w:t>乙方</w:t>
      </w:r>
      <w:r>
        <w:rPr>
          <w:rFonts w:hint="default" w:ascii="宋体" w:hAnsi="宋体" w:eastAsia="宋体" w:cs="微软雅黑"/>
          <w:sz w:val="24"/>
          <w:szCs w:val="24"/>
          <w:u w:val="single"/>
        </w:rPr>
        <w:t xml:space="preserve">  </w:t>
      </w:r>
      <w:r>
        <w:rPr>
          <w:rFonts w:ascii="宋体" w:hAnsi="宋体" w:eastAsia="宋体" w:cs="微软雅黑"/>
          <w:sz w:val="24"/>
          <w:szCs w:val="24"/>
        </w:rPr>
        <w:t>承担</w:t>
      </w:r>
      <w:r>
        <w:rPr>
          <w:rFonts w:ascii="宋体" w:hAnsi="宋体" w:eastAsia="宋体" w:cs="微软雅黑"/>
          <w:sz w:val="24"/>
          <w:szCs w:val="24"/>
          <w:lang w:eastAsia="zh-TW"/>
        </w:rPr>
        <w:t>。</w:t>
      </w:r>
    </w:p>
    <w:p>
      <w:pPr>
        <w:pStyle w:val="3"/>
        <w:numPr>
          <w:ilvl w:val="0"/>
          <w:numId w:val="6"/>
        </w:numPr>
        <w:spacing w:before="156" w:beforeLines="50" w:after="156" w:afterLines="50" w:line="480" w:lineRule="exact"/>
        <w:jc w:val="left"/>
        <w:rPr>
          <w:rFonts w:ascii="宋体" w:hAnsi="宋体" w:eastAsia="宋体" w:cs="Segoe UI"/>
          <w:b/>
          <w:bCs/>
          <w:sz w:val="24"/>
          <w:szCs w:val="24"/>
        </w:rPr>
      </w:pPr>
      <w:r>
        <w:rPr>
          <w:rFonts w:ascii="宋体" w:hAnsi="宋体" w:eastAsia="宋体" w:cs="Segoe UI"/>
          <w:b/>
          <w:bCs/>
          <w:sz w:val="24"/>
          <w:szCs w:val="24"/>
        </w:rPr>
        <w:t>合同金额及付款条款</w:t>
      </w:r>
    </w:p>
    <w:p>
      <w:pPr>
        <w:pStyle w:val="130"/>
        <w:tabs>
          <w:tab w:val="left" w:pos="426"/>
        </w:tabs>
        <w:spacing w:line="480" w:lineRule="exact"/>
        <w:rPr>
          <w:rFonts w:hint="default" w:ascii="宋体" w:hAnsi="宋体" w:eastAsia="宋体" w:cs="Helvetica"/>
          <w:color w:val="auto"/>
          <w:sz w:val="24"/>
          <w:szCs w:val="24"/>
        </w:rPr>
      </w:pPr>
      <w:r>
        <w:rPr>
          <w:rFonts w:ascii="宋体" w:hAnsi="宋体" w:eastAsia="宋体" w:cs="Segoe UI"/>
          <w:b/>
          <w:color w:val="auto"/>
          <w:kern w:val="0"/>
          <w:sz w:val="24"/>
          <w:szCs w:val="24"/>
          <w:lang w:val="en-GB"/>
        </w:rPr>
        <w:t>1、</w:t>
      </w:r>
      <w:r>
        <w:rPr>
          <w:rFonts w:ascii="宋体" w:hAnsi="宋体" w:eastAsia="宋体" w:cs="微软雅黑"/>
          <w:color w:val="auto"/>
          <w:sz w:val="24"/>
          <w:szCs w:val="24"/>
          <w:lang w:eastAsia="zh-TW"/>
        </w:rPr>
        <w:t>本合同项下</w:t>
      </w:r>
      <w:r>
        <w:rPr>
          <w:rFonts w:ascii="宋体" w:hAnsi="宋体" w:eastAsia="宋体" w:cs="微软雅黑"/>
          <w:color w:val="auto"/>
          <w:sz w:val="24"/>
          <w:szCs w:val="24"/>
          <w:u w:val="single"/>
        </w:rPr>
        <w:t xml:space="preserve">          </w:t>
      </w:r>
      <w:r>
        <w:rPr>
          <w:rFonts w:ascii="宋体" w:hAnsi="宋体" w:eastAsia="宋体" w:cs="微软雅黑"/>
          <w:color w:val="auto"/>
          <w:sz w:val="24"/>
          <w:szCs w:val="24"/>
          <w:lang w:eastAsia="zh-TW"/>
        </w:rPr>
        <w:t>价款为</w:t>
      </w:r>
      <w:r>
        <w:rPr>
          <w:rFonts w:ascii="宋体" w:hAnsi="宋体" w:eastAsia="宋体" w:cs="微软雅黑"/>
          <w:color w:val="auto"/>
          <w:sz w:val="24"/>
          <w:szCs w:val="24"/>
        </w:rPr>
        <w:t>：</w:t>
      </w:r>
      <w:r>
        <w:rPr>
          <w:rFonts w:ascii="宋体" w:hAnsi="宋体" w:eastAsia="宋体" w:cs="微软雅黑"/>
          <w:color w:val="auto"/>
          <w:sz w:val="24"/>
          <w:szCs w:val="24"/>
          <w:u w:val="single"/>
        </w:rPr>
        <w:t xml:space="preserve">              </w:t>
      </w:r>
      <w:r>
        <w:rPr>
          <w:rFonts w:ascii="宋体" w:hAnsi="宋体" w:eastAsia="宋体" w:cs="微软雅黑"/>
          <w:color w:val="auto"/>
          <w:sz w:val="24"/>
          <w:szCs w:val="24"/>
        </w:rPr>
        <w:t xml:space="preserve"> 大写：</w:t>
      </w:r>
      <w:r>
        <w:rPr>
          <w:rFonts w:ascii="宋体" w:hAnsi="宋体" w:eastAsia="宋体" w:cs="微软雅黑"/>
          <w:color w:val="auto"/>
          <w:sz w:val="24"/>
          <w:szCs w:val="24"/>
          <w:u w:val="single"/>
        </w:rPr>
        <w:t xml:space="preserve">             </w:t>
      </w:r>
      <w:r>
        <w:rPr>
          <w:rFonts w:ascii="宋体" w:hAnsi="宋体" w:eastAsia="宋体" w:cs="微软雅黑"/>
          <w:color w:val="auto"/>
          <w:sz w:val="24"/>
          <w:szCs w:val="24"/>
        </w:rPr>
        <w:t>。</w:t>
      </w:r>
    </w:p>
    <w:p>
      <w:pPr>
        <w:pStyle w:val="130"/>
        <w:tabs>
          <w:tab w:val="left" w:pos="426"/>
        </w:tabs>
        <w:spacing w:line="480" w:lineRule="exact"/>
        <w:rPr>
          <w:rFonts w:hint="default" w:ascii="宋体" w:hAnsi="宋体" w:eastAsia="宋体" w:cs="Helvetica"/>
          <w:color w:val="auto"/>
          <w:sz w:val="24"/>
          <w:szCs w:val="24"/>
          <w:lang w:eastAsia="zh-TW"/>
        </w:rPr>
      </w:pPr>
      <w:r>
        <w:rPr>
          <w:rFonts w:hint="default" w:ascii="宋体" w:hAnsi="宋体" w:eastAsia="宋体" w:cs="Segoe UI"/>
          <w:b/>
          <w:color w:val="auto"/>
          <w:kern w:val="0"/>
          <w:sz w:val="24"/>
          <w:szCs w:val="24"/>
          <w:lang w:val="en-GB"/>
        </w:rPr>
        <w:t>2</w:t>
      </w:r>
      <w:r>
        <w:rPr>
          <w:rFonts w:ascii="宋体" w:hAnsi="宋体" w:eastAsia="宋体" w:cs="Segoe UI"/>
          <w:b/>
          <w:color w:val="auto"/>
          <w:kern w:val="0"/>
          <w:sz w:val="24"/>
          <w:szCs w:val="24"/>
          <w:lang w:val="en-GB"/>
        </w:rPr>
        <w:t>、</w:t>
      </w:r>
      <w:r>
        <w:rPr>
          <w:rFonts w:ascii="宋体" w:hAnsi="宋体" w:eastAsia="宋体" w:cs="微软雅黑"/>
          <w:color w:val="auto"/>
          <w:sz w:val="24"/>
          <w:szCs w:val="24"/>
          <w:lang w:eastAsia="zh-TW"/>
        </w:rPr>
        <w:t>双方同意采用如下方式支付货款：</w:t>
      </w:r>
    </w:p>
    <w:p>
      <w:pPr>
        <w:pStyle w:val="130"/>
        <w:spacing w:line="480" w:lineRule="exact"/>
        <w:ind w:firstLine="480" w:firstLineChars="200"/>
        <w:rPr>
          <w:rFonts w:hint="default" w:ascii="宋体" w:hAnsi="宋体" w:eastAsia="宋体" w:cs="微软雅黑"/>
          <w:color w:val="auto"/>
          <w:sz w:val="24"/>
          <w:szCs w:val="24"/>
        </w:rPr>
      </w:pPr>
      <w:r>
        <w:rPr>
          <w:rFonts w:ascii="宋体" w:hAnsi="宋体" w:eastAsia="宋体" w:cs="微软雅黑"/>
          <w:color w:val="auto"/>
          <w:sz w:val="24"/>
          <w:szCs w:val="24"/>
        </w:rPr>
        <w:t>付款方式：本项目预算金额（控制价）</w:t>
      </w:r>
      <w:r>
        <w:rPr>
          <w:rFonts w:hint="eastAsia" w:ascii="宋体" w:hAnsi="宋体" w:eastAsia="宋体" w:cs="微软雅黑"/>
          <w:color w:val="auto"/>
          <w:sz w:val="24"/>
          <w:szCs w:val="24"/>
          <w:lang w:val="en-US" w:eastAsia="zh-CN"/>
        </w:rPr>
        <w:t>68</w:t>
      </w:r>
      <w:r>
        <w:rPr>
          <w:rFonts w:ascii="宋体" w:hAnsi="宋体" w:eastAsia="宋体" w:cs="微软雅黑"/>
          <w:color w:val="auto"/>
          <w:sz w:val="24"/>
          <w:szCs w:val="24"/>
        </w:rPr>
        <w:t>万元</w:t>
      </w:r>
      <w:r>
        <w:rPr>
          <w:rFonts w:ascii="宋体" w:hAnsi="宋体" w:eastAsia="宋体" w:cs="微软雅黑"/>
          <w:color w:val="FF0000"/>
          <w:sz w:val="24"/>
          <w:szCs w:val="24"/>
        </w:rPr>
        <w:t>。设备到货经采购人验收合格</w:t>
      </w:r>
      <w:r>
        <w:rPr>
          <w:rFonts w:hint="eastAsia" w:ascii="宋体" w:hAnsi="宋体" w:eastAsia="宋体" w:cs="微软雅黑"/>
          <w:color w:val="FF0000"/>
          <w:sz w:val="24"/>
          <w:szCs w:val="24"/>
          <w:lang w:eastAsia="zh-CN"/>
        </w:rPr>
        <w:t>，安装测试通过</w:t>
      </w:r>
      <w:r>
        <w:rPr>
          <w:rFonts w:ascii="宋体" w:hAnsi="宋体" w:eastAsia="宋体" w:cs="微软雅黑"/>
          <w:color w:val="FF0000"/>
          <w:sz w:val="24"/>
          <w:szCs w:val="24"/>
        </w:rPr>
        <w:t>后，支付合同价款的</w:t>
      </w:r>
      <w:r>
        <w:rPr>
          <w:rFonts w:hint="eastAsia" w:ascii="宋体" w:hAnsi="宋体" w:eastAsia="宋体" w:cs="微软雅黑"/>
          <w:color w:val="FF0000"/>
          <w:sz w:val="24"/>
          <w:szCs w:val="24"/>
          <w:lang w:val="en-US" w:eastAsia="zh-CN"/>
        </w:rPr>
        <w:t>80</w:t>
      </w:r>
      <w:r>
        <w:rPr>
          <w:rFonts w:ascii="宋体" w:hAnsi="宋体" w:eastAsia="宋体" w:cs="微软雅黑"/>
          <w:color w:val="FF0000"/>
          <w:sz w:val="24"/>
          <w:szCs w:val="24"/>
        </w:rPr>
        <w:t>%，质保期后支付剩余</w:t>
      </w:r>
      <w:r>
        <w:rPr>
          <w:rFonts w:hint="eastAsia" w:ascii="宋体" w:hAnsi="宋体" w:eastAsia="宋体" w:cs="微软雅黑"/>
          <w:color w:val="FF0000"/>
          <w:sz w:val="24"/>
          <w:szCs w:val="24"/>
          <w:lang w:val="en-US" w:eastAsia="zh-CN"/>
        </w:rPr>
        <w:t>20</w:t>
      </w:r>
      <w:r>
        <w:rPr>
          <w:rFonts w:ascii="宋体" w:hAnsi="宋体" w:eastAsia="宋体" w:cs="微软雅黑"/>
          <w:color w:val="FF0000"/>
          <w:sz w:val="24"/>
          <w:szCs w:val="24"/>
        </w:rPr>
        <w:t>%；本项目合同期一年、设备质保期三年。</w:t>
      </w:r>
    </w:p>
    <w:p>
      <w:pPr>
        <w:pStyle w:val="130"/>
        <w:spacing w:line="480" w:lineRule="exact"/>
        <w:ind w:firstLine="480" w:firstLineChars="200"/>
        <w:rPr>
          <w:rFonts w:hint="default" w:ascii="宋体" w:hAnsi="宋体" w:eastAsia="宋体" w:cs="微软雅黑"/>
          <w:b/>
          <w:bCs/>
          <w:color w:val="auto"/>
          <w:sz w:val="24"/>
          <w:szCs w:val="24"/>
        </w:rPr>
      </w:pPr>
      <w:r>
        <w:rPr>
          <w:rFonts w:ascii="宋体" w:hAnsi="宋体" w:eastAsia="宋体" w:cs="微软雅黑"/>
          <w:color w:val="auto"/>
          <w:sz w:val="24"/>
          <w:szCs w:val="24"/>
        </w:rPr>
        <w:t>乙方</w:t>
      </w:r>
      <w:r>
        <w:rPr>
          <w:rFonts w:hint="default" w:ascii="宋体" w:hAnsi="宋体" w:eastAsia="宋体" w:cs="微软雅黑"/>
          <w:color w:val="auto"/>
          <w:sz w:val="24"/>
          <w:szCs w:val="24"/>
        </w:rPr>
        <w:t>在甲方付款前向甲方</w:t>
      </w:r>
      <w:r>
        <w:rPr>
          <w:rFonts w:ascii="宋体" w:hAnsi="宋体" w:eastAsia="宋体" w:cs="微软雅黑"/>
          <w:color w:val="auto"/>
          <w:sz w:val="24"/>
          <w:szCs w:val="24"/>
        </w:rPr>
        <w:t>开具合同全额</w:t>
      </w:r>
      <w:r>
        <w:rPr>
          <w:rFonts w:ascii="宋体" w:hAnsi="宋体" w:eastAsia="宋体" w:cs="微软雅黑"/>
          <w:color w:val="auto"/>
          <w:sz w:val="24"/>
          <w:szCs w:val="24"/>
          <w:u w:val="single"/>
        </w:rPr>
        <w:t xml:space="preserve">    %</w:t>
      </w:r>
      <w:r>
        <w:rPr>
          <w:rFonts w:ascii="宋体" w:hAnsi="宋体" w:eastAsia="宋体" w:cs="微软雅黑"/>
          <w:color w:val="auto"/>
          <w:sz w:val="24"/>
          <w:szCs w:val="24"/>
        </w:rPr>
        <w:t>的增值税专用发票。</w:t>
      </w:r>
    </w:p>
    <w:p>
      <w:pPr>
        <w:pStyle w:val="130"/>
        <w:tabs>
          <w:tab w:val="left" w:pos="426"/>
        </w:tabs>
        <w:spacing w:line="480" w:lineRule="exact"/>
        <w:rPr>
          <w:rFonts w:hint="default" w:ascii="宋体" w:hAnsi="宋体" w:eastAsia="宋体" w:cs="Helvetica"/>
          <w:color w:val="auto"/>
          <w:sz w:val="24"/>
          <w:szCs w:val="24"/>
        </w:rPr>
      </w:pPr>
      <w:r>
        <w:rPr>
          <w:rFonts w:hint="default" w:ascii="宋体" w:hAnsi="宋体" w:eastAsia="宋体" w:cs="Segoe UI"/>
          <w:b/>
          <w:color w:val="auto"/>
          <w:kern w:val="0"/>
          <w:sz w:val="24"/>
          <w:szCs w:val="24"/>
          <w:lang w:val="en-GB"/>
        </w:rPr>
        <w:t>3</w:t>
      </w:r>
      <w:r>
        <w:rPr>
          <w:rFonts w:ascii="宋体" w:hAnsi="宋体" w:eastAsia="宋体" w:cs="Segoe UI"/>
          <w:b/>
          <w:color w:val="auto"/>
          <w:kern w:val="0"/>
          <w:sz w:val="24"/>
          <w:szCs w:val="24"/>
          <w:lang w:val="en-GB"/>
        </w:rPr>
        <w:t>、</w:t>
      </w:r>
      <w:r>
        <w:rPr>
          <w:rFonts w:ascii="宋体" w:hAnsi="宋体" w:eastAsia="宋体" w:cs="微软雅黑"/>
          <w:color w:val="auto"/>
          <w:sz w:val="24"/>
          <w:szCs w:val="24"/>
          <w:lang w:eastAsia="zh-TW"/>
        </w:rPr>
        <w:t>乙方收款信息如下所示：</w:t>
      </w:r>
    </w:p>
    <w:p>
      <w:pPr>
        <w:pStyle w:val="120"/>
        <w:framePr w:wrap="auto" w:vAnchor="margin" w:hAnchor="text" w:yAlign="inline"/>
        <w:spacing w:line="480" w:lineRule="exact"/>
        <w:ind w:firstLine="420"/>
        <w:rPr>
          <w:rFonts w:cs="微软雅黑"/>
          <w:sz w:val="24"/>
          <w:szCs w:val="24"/>
        </w:rPr>
      </w:pPr>
      <w:r>
        <w:rPr>
          <w:rFonts w:cs="微软雅黑"/>
          <w:sz w:val="24"/>
          <w:szCs w:val="24"/>
          <w:lang w:val="zh-TW" w:eastAsia="zh-TW"/>
        </w:rPr>
        <w:t>收款公司：</w:t>
      </w:r>
    </w:p>
    <w:p>
      <w:pPr>
        <w:pStyle w:val="120"/>
        <w:framePr w:wrap="auto" w:vAnchor="margin" w:hAnchor="text" w:yAlign="inline"/>
        <w:spacing w:line="480" w:lineRule="exact"/>
        <w:ind w:firstLine="420"/>
        <w:rPr>
          <w:rFonts w:cs="微软雅黑"/>
          <w:sz w:val="24"/>
          <w:szCs w:val="24"/>
        </w:rPr>
      </w:pPr>
      <w:r>
        <w:rPr>
          <w:rFonts w:cs="微软雅黑"/>
          <w:sz w:val="24"/>
          <w:szCs w:val="24"/>
        </w:rPr>
        <w:t>税</w:t>
      </w:r>
      <w:r>
        <w:rPr>
          <w:rFonts w:hint="eastAsia" w:cs="微软雅黑"/>
          <w:sz w:val="24"/>
          <w:szCs w:val="24"/>
        </w:rPr>
        <w:t xml:space="preserve">    </w:t>
      </w:r>
      <w:r>
        <w:rPr>
          <w:rFonts w:cs="微软雅黑"/>
          <w:sz w:val="24"/>
          <w:szCs w:val="24"/>
          <w:lang w:val="zh-TW" w:eastAsia="zh-TW"/>
        </w:rPr>
        <w:t>号：</w:t>
      </w:r>
    </w:p>
    <w:p>
      <w:pPr>
        <w:pStyle w:val="120"/>
        <w:framePr w:wrap="auto" w:vAnchor="margin" w:hAnchor="text" w:yAlign="inline"/>
        <w:spacing w:line="480" w:lineRule="exact"/>
        <w:ind w:firstLine="420"/>
        <w:rPr>
          <w:rFonts w:cs="微软雅黑"/>
          <w:sz w:val="24"/>
          <w:szCs w:val="24"/>
        </w:rPr>
      </w:pPr>
      <w:r>
        <w:rPr>
          <w:rFonts w:cs="微软雅黑"/>
          <w:sz w:val="24"/>
          <w:szCs w:val="24"/>
        </w:rPr>
        <w:t>单位地址：</w:t>
      </w:r>
    </w:p>
    <w:p>
      <w:pPr>
        <w:pStyle w:val="120"/>
        <w:framePr w:wrap="auto" w:vAnchor="margin" w:hAnchor="text" w:yAlign="inline"/>
        <w:spacing w:line="480" w:lineRule="exact"/>
        <w:ind w:firstLine="420"/>
        <w:rPr>
          <w:rFonts w:cs="微软雅黑"/>
          <w:sz w:val="24"/>
          <w:szCs w:val="24"/>
        </w:rPr>
      </w:pPr>
      <w:r>
        <w:rPr>
          <w:rFonts w:cs="微软雅黑"/>
          <w:sz w:val="24"/>
          <w:szCs w:val="24"/>
        </w:rPr>
        <w:t>电话号码：</w:t>
      </w:r>
    </w:p>
    <w:p>
      <w:pPr>
        <w:pStyle w:val="120"/>
        <w:framePr w:wrap="auto" w:vAnchor="margin" w:hAnchor="text" w:yAlign="inline"/>
        <w:spacing w:line="460" w:lineRule="exact"/>
        <w:ind w:firstLine="420"/>
        <w:rPr>
          <w:rFonts w:cs="微软雅黑"/>
          <w:sz w:val="24"/>
          <w:szCs w:val="24"/>
          <w:lang w:val="zh-TW" w:eastAsia="zh-TW"/>
        </w:rPr>
      </w:pPr>
      <w:r>
        <w:rPr>
          <w:rFonts w:cs="微软雅黑"/>
          <w:sz w:val="24"/>
          <w:szCs w:val="24"/>
          <w:lang w:val="zh-TW" w:eastAsia="zh-TW"/>
        </w:rPr>
        <w:t>开</w:t>
      </w:r>
      <w:r>
        <w:rPr>
          <w:rFonts w:hint="eastAsia" w:cs="微软雅黑"/>
          <w:sz w:val="24"/>
          <w:szCs w:val="24"/>
          <w:lang w:val="zh-TW"/>
        </w:rPr>
        <w:t xml:space="preserve"> </w:t>
      </w:r>
      <w:r>
        <w:rPr>
          <w:rFonts w:cs="微软雅黑"/>
          <w:sz w:val="24"/>
          <w:szCs w:val="24"/>
          <w:lang w:val="zh-TW" w:eastAsia="zh-TW"/>
        </w:rPr>
        <w:t>户</w:t>
      </w:r>
      <w:r>
        <w:rPr>
          <w:rFonts w:hint="eastAsia" w:cs="微软雅黑"/>
          <w:sz w:val="24"/>
          <w:szCs w:val="24"/>
          <w:lang w:val="zh-TW"/>
        </w:rPr>
        <w:t xml:space="preserve"> </w:t>
      </w:r>
      <w:r>
        <w:rPr>
          <w:rFonts w:cs="微软雅黑"/>
          <w:sz w:val="24"/>
          <w:szCs w:val="24"/>
          <w:lang w:val="zh-TW" w:eastAsia="zh-TW"/>
        </w:rPr>
        <w:t>行：</w:t>
      </w:r>
    </w:p>
    <w:p>
      <w:pPr>
        <w:spacing w:line="460" w:lineRule="exact"/>
        <w:ind w:firstLine="480" w:firstLineChars="200"/>
        <w:jc w:val="left"/>
        <w:rPr>
          <w:rFonts w:ascii="宋体" w:hAnsi="宋体" w:cs="微软雅黑"/>
          <w:sz w:val="24"/>
          <w:lang w:val="zh-TW"/>
        </w:rPr>
      </w:pPr>
      <w:r>
        <w:rPr>
          <w:rFonts w:ascii="宋体" w:hAnsi="宋体" w:cs="微软雅黑"/>
          <w:sz w:val="24"/>
          <w:lang w:val="zh-TW" w:eastAsia="zh-TW"/>
        </w:rPr>
        <w:t>银行账户：</w:t>
      </w:r>
    </w:p>
    <w:p>
      <w:pPr>
        <w:pStyle w:val="130"/>
        <w:tabs>
          <w:tab w:val="left" w:pos="420"/>
        </w:tabs>
        <w:spacing w:line="460" w:lineRule="exact"/>
        <w:rPr>
          <w:rFonts w:hint="default" w:ascii="宋体" w:hAnsi="宋体" w:eastAsia="宋体" w:cs="微软雅黑"/>
          <w:sz w:val="24"/>
          <w:szCs w:val="24"/>
        </w:rPr>
      </w:pPr>
      <w:r>
        <w:rPr>
          <w:rFonts w:hint="default" w:ascii="宋体" w:hAnsi="宋体" w:eastAsia="宋体" w:cs="Segoe UI"/>
          <w:b/>
          <w:color w:val="auto"/>
          <w:kern w:val="0"/>
          <w:sz w:val="24"/>
          <w:szCs w:val="24"/>
          <w:lang w:val="en-GB"/>
        </w:rPr>
        <w:t>4</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甲方税务信息及发票邮寄地址如下:</w:t>
      </w:r>
    </w:p>
    <w:p>
      <w:pPr>
        <w:pStyle w:val="130"/>
        <w:spacing w:line="460" w:lineRule="exact"/>
        <w:jc w:val="left"/>
        <w:rPr>
          <w:rFonts w:hint="default" w:ascii="宋体" w:hAnsi="宋体" w:eastAsia="宋体" w:cs="微软雅黑"/>
          <w:color w:val="auto"/>
          <w:sz w:val="24"/>
          <w:szCs w:val="24"/>
        </w:rPr>
      </w:pPr>
      <w:r>
        <w:rPr>
          <w:rFonts w:ascii="宋体" w:hAnsi="宋体" w:eastAsia="宋体" w:cs="微软雅黑"/>
          <w:sz w:val="24"/>
          <w:szCs w:val="24"/>
        </w:rPr>
        <w:t xml:space="preserve">    </w:t>
      </w:r>
      <w:r>
        <w:rPr>
          <w:rFonts w:ascii="宋体" w:hAnsi="宋体" w:eastAsia="宋体" w:cs="微软雅黑"/>
          <w:color w:val="auto"/>
          <w:sz w:val="24"/>
          <w:szCs w:val="24"/>
          <w:lang w:val="zh-TW"/>
        </w:rPr>
        <w:t>单位</w:t>
      </w:r>
      <w:r>
        <w:rPr>
          <w:rFonts w:ascii="宋体" w:hAnsi="宋体" w:eastAsia="宋体" w:cs="微软雅黑"/>
          <w:color w:val="auto"/>
          <w:sz w:val="24"/>
          <w:szCs w:val="24"/>
          <w:lang w:val="zh-TW" w:eastAsia="zh-TW"/>
        </w:rPr>
        <w:t>名称：</w:t>
      </w:r>
      <w:r>
        <w:rPr>
          <w:rFonts w:ascii="宋体" w:hAnsi="宋体" w:eastAsia="宋体"/>
          <w:color w:val="auto"/>
          <w:sz w:val="24"/>
          <w:szCs w:val="24"/>
        </w:rPr>
        <w:t xml:space="preserve"> </w:t>
      </w:r>
    </w:p>
    <w:p>
      <w:pPr>
        <w:pStyle w:val="130"/>
        <w:spacing w:line="460" w:lineRule="exact"/>
        <w:jc w:val="left"/>
        <w:rPr>
          <w:rFonts w:hint="default" w:ascii="宋体" w:hAnsi="宋体" w:eastAsia="宋体" w:cs="宋体"/>
          <w:color w:val="auto"/>
          <w:sz w:val="24"/>
          <w:szCs w:val="24"/>
          <w:lang w:val="zh-TW"/>
        </w:rPr>
      </w:pPr>
      <w:r>
        <w:rPr>
          <w:rFonts w:ascii="宋体" w:hAnsi="宋体" w:eastAsia="宋体" w:cs="微软雅黑"/>
          <w:color w:val="auto"/>
          <w:sz w:val="24"/>
          <w:szCs w:val="24"/>
          <w:lang w:val="zh-TW" w:eastAsia="zh-TW"/>
        </w:rPr>
        <w:t xml:space="preserve"> </w:t>
      </w:r>
      <w:r>
        <w:rPr>
          <w:rFonts w:hint="default" w:ascii="宋体" w:hAnsi="宋体" w:eastAsia="宋体" w:cs="微软雅黑"/>
          <w:color w:val="auto"/>
          <w:sz w:val="24"/>
          <w:szCs w:val="24"/>
          <w:lang w:val="zh-TW" w:eastAsia="zh-TW"/>
        </w:rPr>
        <w:t xml:space="preserve">  </w:t>
      </w:r>
      <w:r>
        <w:rPr>
          <w:rFonts w:ascii="宋体" w:hAnsi="宋体" w:eastAsia="宋体" w:cs="微软雅黑"/>
          <w:color w:val="auto"/>
          <w:sz w:val="24"/>
          <w:szCs w:val="24"/>
          <w:lang w:val="zh-TW" w:eastAsia="zh-TW"/>
        </w:rPr>
        <w:t xml:space="preserve"> 开户银行：</w:t>
      </w:r>
      <w:r>
        <w:rPr>
          <w:rFonts w:ascii="宋体" w:hAnsi="宋体" w:eastAsia="宋体"/>
          <w:color w:val="auto"/>
          <w:sz w:val="24"/>
          <w:szCs w:val="24"/>
        </w:rPr>
        <w:t xml:space="preserve"> </w:t>
      </w:r>
    </w:p>
    <w:p>
      <w:pPr>
        <w:pStyle w:val="130"/>
        <w:spacing w:line="460" w:lineRule="exact"/>
        <w:jc w:val="left"/>
        <w:rPr>
          <w:rFonts w:hint="default" w:ascii="宋体" w:hAnsi="宋体" w:eastAsia="宋体" w:cs="微软雅黑"/>
          <w:color w:val="auto"/>
          <w:sz w:val="24"/>
          <w:szCs w:val="24"/>
        </w:rPr>
      </w:pPr>
      <w:r>
        <w:rPr>
          <w:rFonts w:ascii="宋体" w:hAnsi="宋体" w:eastAsia="宋体" w:cs="微软雅黑"/>
          <w:color w:val="auto"/>
          <w:sz w:val="24"/>
          <w:szCs w:val="24"/>
          <w:lang w:val="zh-TW" w:eastAsia="zh-TW"/>
        </w:rPr>
        <w:t xml:space="preserve"> </w:t>
      </w:r>
      <w:r>
        <w:rPr>
          <w:rFonts w:hint="default" w:ascii="宋体" w:hAnsi="宋体" w:eastAsia="宋体" w:cs="微软雅黑"/>
          <w:color w:val="auto"/>
          <w:sz w:val="24"/>
          <w:szCs w:val="24"/>
          <w:lang w:val="zh-TW" w:eastAsia="zh-TW"/>
        </w:rPr>
        <w:t xml:space="preserve">  </w:t>
      </w:r>
      <w:r>
        <w:rPr>
          <w:rFonts w:ascii="宋体" w:hAnsi="宋体" w:eastAsia="宋体" w:cs="微软雅黑"/>
          <w:color w:val="auto"/>
          <w:sz w:val="24"/>
          <w:szCs w:val="24"/>
          <w:lang w:val="zh-TW" w:eastAsia="zh-TW"/>
        </w:rPr>
        <w:t xml:space="preserve"> 银行账号：</w:t>
      </w:r>
      <w:r>
        <w:rPr>
          <w:rFonts w:ascii="宋体" w:hAnsi="宋体" w:eastAsia="宋体"/>
          <w:color w:val="auto"/>
          <w:sz w:val="24"/>
          <w:szCs w:val="24"/>
        </w:rPr>
        <w:t xml:space="preserve"> </w:t>
      </w:r>
    </w:p>
    <w:p>
      <w:pPr>
        <w:pStyle w:val="130"/>
        <w:spacing w:line="460" w:lineRule="exact"/>
        <w:jc w:val="left"/>
        <w:rPr>
          <w:rFonts w:hint="default" w:ascii="宋体" w:hAnsi="宋体" w:eastAsia="宋体" w:cs="微软雅黑"/>
          <w:color w:val="auto"/>
          <w:sz w:val="24"/>
          <w:szCs w:val="24"/>
        </w:rPr>
      </w:pPr>
      <w:r>
        <w:rPr>
          <w:rFonts w:ascii="宋体" w:hAnsi="宋体" w:eastAsia="宋体" w:cs="微软雅黑"/>
          <w:color w:val="auto"/>
          <w:sz w:val="24"/>
          <w:szCs w:val="24"/>
          <w:lang w:val="zh-TW" w:eastAsia="zh-TW"/>
        </w:rPr>
        <w:t xml:space="preserve"> </w:t>
      </w:r>
      <w:r>
        <w:rPr>
          <w:rFonts w:hint="default" w:ascii="宋体" w:hAnsi="宋体" w:eastAsia="宋体" w:cs="微软雅黑"/>
          <w:color w:val="auto"/>
          <w:sz w:val="24"/>
          <w:szCs w:val="24"/>
          <w:lang w:val="zh-TW" w:eastAsia="zh-TW"/>
        </w:rPr>
        <w:t xml:space="preserve">  </w:t>
      </w:r>
      <w:r>
        <w:rPr>
          <w:rFonts w:ascii="宋体" w:hAnsi="宋体" w:eastAsia="宋体" w:cs="微软雅黑"/>
          <w:color w:val="auto"/>
          <w:sz w:val="24"/>
          <w:szCs w:val="24"/>
          <w:lang w:val="zh-TW" w:eastAsia="zh-TW"/>
        </w:rPr>
        <w:t xml:space="preserve"> </w:t>
      </w:r>
      <w:r>
        <w:rPr>
          <w:rFonts w:ascii="宋体" w:hAnsi="宋体" w:eastAsia="宋体" w:cs="微软雅黑"/>
          <w:color w:val="auto"/>
          <w:sz w:val="24"/>
          <w:szCs w:val="24"/>
          <w:lang w:val="zh-TW"/>
        </w:rPr>
        <w:t>注册</w:t>
      </w:r>
      <w:r>
        <w:rPr>
          <w:rFonts w:ascii="宋体" w:hAnsi="宋体" w:eastAsia="宋体" w:cs="微软雅黑"/>
          <w:color w:val="auto"/>
          <w:sz w:val="24"/>
          <w:szCs w:val="24"/>
          <w:lang w:val="zh-TW" w:eastAsia="zh-TW"/>
        </w:rPr>
        <w:t>地址：</w:t>
      </w:r>
      <w:r>
        <w:rPr>
          <w:rFonts w:ascii="宋体" w:hAnsi="宋体" w:eastAsia="宋体"/>
          <w:color w:val="auto"/>
          <w:sz w:val="24"/>
          <w:szCs w:val="24"/>
        </w:rPr>
        <w:t xml:space="preserve"> </w:t>
      </w:r>
    </w:p>
    <w:p>
      <w:pPr>
        <w:pStyle w:val="130"/>
        <w:spacing w:line="460" w:lineRule="exact"/>
        <w:jc w:val="left"/>
        <w:rPr>
          <w:rFonts w:hint="default" w:ascii="宋体" w:hAnsi="宋体" w:eastAsia="宋体" w:cs="微软雅黑"/>
          <w:color w:val="auto"/>
          <w:sz w:val="24"/>
          <w:szCs w:val="24"/>
        </w:rPr>
      </w:pPr>
      <w:r>
        <w:rPr>
          <w:rFonts w:ascii="宋体" w:hAnsi="宋体" w:eastAsia="宋体" w:cs="微软雅黑"/>
          <w:color w:val="auto"/>
          <w:sz w:val="24"/>
          <w:szCs w:val="24"/>
          <w:lang w:val="zh-TW" w:eastAsia="zh-TW"/>
        </w:rPr>
        <w:t xml:space="preserve"> </w:t>
      </w:r>
      <w:r>
        <w:rPr>
          <w:rFonts w:hint="default" w:ascii="宋体" w:hAnsi="宋体" w:eastAsia="宋体" w:cs="微软雅黑"/>
          <w:color w:val="auto"/>
          <w:sz w:val="24"/>
          <w:szCs w:val="24"/>
          <w:lang w:val="zh-TW" w:eastAsia="zh-TW"/>
        </w:rPr>
        <w:t xml:space="preserve">  </w:t>
      </w:r>
      <w:r>
        <w:rPr>
          <w:rFonts w:ascii="宋体" w:hAnsi="宋体" w:eastAsia="宋体" w:cs="微软雅黑"/>
          <w:color w:val="auto"/>
          <w:sz w:val="24"/>
          <w:szCs w:val="24"/>
          <w:lang w:val="zh-TW" w:eastAsia="zh-TW"/>
        </w:rPr>
        <w:t xml:space="preserve"> 联系电话：</w:t>
      </w:r>
      <w:r>
        <w:rPr>
          <w:rFonts w:ascii="宋体" w:hAnsi="宋体" w:eastAsia="宋体"/>
          <w:color w:val="auto"/>
          <w:sz w:val="24"/>
          <w:szCs w:val="24"/>
        </w:rPr>
        <w:t xml:space="preserve"> </w:t>
      </w:r>
    </w:p>
    <w:p>
      <w:pPr>
        <w:pStyle w:val="130"/>
        <w:spacing w:line="460" w:lineRule="exact"/>
        <w:ind w:firstLine="480" w:firstLineChars="200"/>
        <w:jc w:val="left"/>
        <w:rPr>
          <w:rFonts w:hint="default" w:ascii="宋体" w:hAnsi="宋体" w:eastAsia="宋体" w:cs="微软雅黑"/>
          <w:color w:val="auto"/>
          <w:sz w:val="24"/>
          <w:szCs w:val="24"/>
        </w:rPr>
      </w:pPr>
      <w:r>
        <w:rPr>
          <w:rFonts w:ascii="宋体" w:hAnsi="宋体" w:eastAsia="宋体" w:cs="微软雅黑"/>
          <w:color w:val="auto"/>
          <w:sz w:val="24"/>
          <w:szCs w:val="24"/>
          <w:lang w:val="zh-TW" w:eastAsia="zh-TW"/>
        </w:rPr>
        <w:t>税</w:t>
      </w:r>
      <w:r>
        <w:rPr>
          <w:rFonts w:ascii="宋体" w:hAnsi="宋体" w:eastAsia="宋体" w:cs="微软雅黑"/>
          <w:color w:val="auto"/>
          <w:sz w:val="24"/>
          <w:szCs w:val="24"/>
          <w:lang w:val="zh-TW"/>
        </w:rPr>
        <w:t xml:space="preserve">    </w:t>
      </w:r>
      <w:r>
        <w:rPr>
          <w:rFonts w:ascii="宋体" w:hAnsi="宋体" w:eastAsia="宋体" w:cs="微软雅黑"/>
          <w:color w:val="auto"/>
          <w:sz w:val="24"/>
          <w:szCs w:val="24"/>
          <w:lang w:val="zh-TW" w:eastAsia="zh-TW"/>
        </w:rPr>
        <w:t>号：</w:t>
      </w:r>
      <w:r>
        <w:rPr>
          <w:rFonts w:ascii="宋体" w:hAnsi="宋体" w:eastAsia="宋体"/>
          <w:color w:val="auto"/>
          <w:sz w:val="24"/>
          <w:szCs w:val="24"/>
        </w:rPr>
        <w:t xml:space="preserve"> </w:t>
      </w:r>
    </w:p>
    <w:p>
      <w:pPr>
        <w:pStyle w:val="130"/>
        <w:spacing w:line="460" w:lineRule="exact"/>
        <w:ind w:firstLine="480" w:firstLineChars="200"/>
        <w:jc w:val="left"/>
        <w:rPr>
          <w:rFonts w:hint="default" w:ascii="宋体" w:hAnsi="宋体" w:eastAsia="宋体" w:cs="微软雅黑"/>
          <w:sz w:val="24"/>
          <w:szCs w:val="24"/>
          <w:lang w:val="zh-TW"/>
        </w:rPr>
      </w:pPr>
      <w:r>
        <w:rPr>
          <w:rFonts w:ascii="宋体" w:hAnsi="宋体" w:eastAsia="宋体" w:cs="微软雅黑"/>
          <w:sz w:val="24"/>
          <w:szCs w:val="24"/>
          <w:lang w:val="zh-TW" w:eastAsia="zh-TW"/>
        </w:rPr>
        <w:t>发票指定接收人：</w:t>
      </w:r>
    </w:p>
    <w:p>
      <w:pPr>
        <w:pStyle w:val="130"/>
        <w:spacing w:line="460" w:lineRule="exact"/>
        <w:ind w:firstLine="480" w:firstLineChars="200"/>
        <w:jc w:val="left"/>
        <w:rPr>
          <w:rFonts w:hint="default" w:ascii="宋体" w:hAnsi="宋体" w:eastAsia="宋体" w:cs="微软雅黑"/>
          <w:sz w:val="24"/>
          <w:szCs w:val="24"/>
        </w:rPr>
      </w:pPr>
      <w:r>
        <w:rPr>
          <w:rFonts w:ascii="宋体" w:hAnsi="宋体" w:eastAsia="宋体" w:cs="微软雅黑"/>
          <w:sz w:val="24"/>
          <w:szCs w:val="24"/>
          <w:lang w:val="zh-TW" w:eastAsia="zh-TW"/>
        </w:rPr>
        <w:t>发票邮寄地址：</w:t>
      </w:r>
      <w:r>
        <w:rPr>
          <w:rFonts w:ascii="宋体" w:hAnsi="宋体" w:eastAsia="宋体" w:cs="微软雅黑"/>
          <w:sz w:val="24"/>
          <w:szCs w:val="24"/>
        </w:rPr>
        <w:t xml:space="preserve"> </w:t>
      </w:r>
    </w:p>
    <w:p>
      <w:pPr>
        <w:pStyle w:val="130"/>
        <w:spacing w:line="460" w:lineRule="exact"/>
        <w:ind w:firstLine="480" w:firstLineChars="200"/>
        <w:jc w:val="left"/>
        <w:rPr>
          <w:rFonts w:hint="default" w:ascii="宋体" w:hAnsi="宋体" w:eastAsia="宋体" w:cs="微软雅黑"/>
          <w:sz w:val="24"/>
          <w:szCs w:val="24"/>
          <w:lang w:eastAsia="zh-TW"/>
        </w:rPr>
      </w:pPr>
      <w:r>
        <w:rPr>
          <w:rFonts w:ascii="宋体" w:hAnsi="宋体" w:eastAsia="宋体" w:cs="微软雅黑"/>
          <w:sz w:val="24"/>
          <w:szCs w:val="24"/>
          <w:lang w:val="zh-TW" w:eastAsia="zh-TW"/>
        </w:rPr>
        <w:t>如因甲方原因遗失发票并要求乙方再次重新开具的，重新开具发票涉及的税费全部由甲方承担。甲方向乙方支付了该等税费后，乙方才同意重新开具发票。</w:t>
      </w:r>
    </w:p>
    <w:p>
      <w:pPr>
        <w:pStyle w:val="3"/>
        <w:numPr>
          <w:ilvl w:val="0"/>
          <w:numId w:val="6"/>
        </w:numPr>
        <w:spacing w:before="156" w:beforeLines="50" w:after="156" w:afterLines="50" w:line="460" w:lineRule="exact"/>
        <w:jc w:val="left"/>
        <w:rPr>
          <w:rFonts w:ascii="宋体" w:hAnsi="宋体" w:eastAsia="宋体" w:cs="Segoe UI"/>
          <w:b/>
          <w:bCs/>
          <w:sz w:val="24"/>
          <w:szCs w:val="24"/>
        </w:rPr>
      </w:pPr>
      <w:r>
        <w:rPr>
          <w:rFonts w:ascii="宋体" w:hAnsi="宋体" w:eastAsia="宋体" w:cs="Segoe UI"/>
          <w:b/>
          <w:bCs/>
          <w:sz w:val="24"/>
          <w:szCs w:val="24"/>
        </w:rPr>
        <w:t>验收与异议</w:t>
      </w:r>
    </w:p>
    <w:p>
      <w:pPr>
        <w:pStyle w:val="130"/>
        <w:tabs>
          <w:tab w:val="left" w:pos="426"/>
        </w:tabs>
        <w:spacing w:line="460" w:lineRule="exact"/>
        <w:rPr>
          <w:rFonts w:hint="default" w:ascii="宋体" w:hAnsi="宋体" w:eastAsia="宋体" w:cs="Helvetica"/>
          <w:sz w:val="24"/>
          <w:szCs w:val="24"/>
        </w:rPr>
      </w:pPr>
      <w:r>
        <w:rPr>
          <w:rFonts w:ascii="宋体" w:hAnsi="宋体" w:eastAsia="宋体" w:cs="Segoe UI"/>
          <w:b/>
          <w:color w:val="auto"/>
          <w:kern w:val="0"/>
          <w:sz w:val="24"/>
          <w:szCs w:val="24"/>
          <w:lang w:val="en-GB"/>
        </w:rPr>
        <w:t>1、</w:t>
      </w:r>
      <w:r>
        <w:rPr>
          <w:rFonts w:ascii="宋体" w:hAnsi="宋体" w:eastAsia="宋体" w:cs="微软雅黑"/>
          <w:sz w:val="24"/>
          <w:szCs w:val="24"/>
          <w:lang w:eastAsia="zh-TW"/>
        </w:rPr>
        <w:t>甲方如指定由收货单位（人）接收货物，则甲方同意对收货单位（人）的接收、拒收、书面拒收意见等行为负责。</w:t>
      </w:r>
    </w:p>
    <w:p>
      <w:pPr>
        <w:pStyle w:val="130"/>
        <w:tabs>
          <w:tab w:val="left" w:pos="426"/>
        </w:tabs>
        <w:spacing w:line="460" w:lineRule="exact"/>
        <w:rPr>
          <w:rFonts w:hint="default" w:ascii="宋体" w:hAnsi="宋体" w:eastAsia="宋体" w:cs="Helvetica"/>
          <w:sz w:val="24"/>
          <w:szCs w:val="24"/>
        </w:rPr>
      </w:pPr>
      <w:r>
        <w:rPr>
          <w:rFonts w:hint="default" w:ascii="宋体" w:hAnsi="宋体" w:eastAsia="宋体" w:cs="Segoe UI"/>
          <w:b/>
          <w:color w:val="auto"/>
          <w:kern w:val="0"/>
          <w:sz w:val="24"/>
          <w:szCs w:val="24"/>
          <w:lang w:val="en-GB"/>
        </w:rPr>
        <w:t>2</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验收按以下方式进行：</w:t>
      </w:r>
    </w:p>
    <w:p>
      <w:pPr>
        <w:pStyle w:val="130"/>
        <w:tabs>
          <w:tab w:val="left" w:pos="720"/>
        </w:tabs>
        <w:spacing w:line="460" w:lineRule="exact"/>
        <w:ind w:firstLine="480" w:firstLineChars="200"/>
        <w:rPr>
          <w:rFonts w:hint="default" w:ascii="宋体" w:hAnsi="宋体" w:eastAsia="宋体" w:cs="微软雅黑"/>
          <w:sz w:val="24"/>
          <w:szCs w:val="24"/>
        </w:rPr>
      </w:pPr>
      <w:r>
        <w:rPr>
          <w:rFonts w:ascii="宋体" w:hAnsi="宋体" w:eastAsia="宋体" w:cs="微软雅黑"/>
          <w:sz w:val="24"/>
          <w:szCs w:val="24"/>
          <w:lang w:val="zh-TW" w:eastAsia="zh-TW"/>
        </w:rPr>
        <w:t>自货物运达之日起</w:t>
      </w:r>
      <w:r>
        <w:rPr>
          <w:rFonts w:ascii="宋体" w:hAnsi="宋体" w:eastAsia="宋体" w:cs="微软雅黑"/>
          <w:sz w:val="24"/>
          <w:szCs w:val="24"/>
        </w:rPr>
        <w:t>3</w:t>
      </w:r>
      <w:r>
        <w:rPr>
          <w:rFonts w:ascii="宋体" w:hAnsi="宋体" w:eastAsia="宋体" w:cs="微软雅黑"/>
          <w:sz w:val="24"/>
          <w:szCs w:val="24"/>
          <w:lang w:val="zh-TW" w:eastAsia="zh-TW"/>
        </w:rPr>
        <w:t>个工作日内，</w:t>
      </w:r>
      <w:r>
        <w:rPr>
          <w:rFonts w:ascii="宋体" w:hAnsi="宋体" w:eastAsia="宋体" w:cs="微软雅黑"/>
          <w:sz w:val="24"/>
          <w:szCs w:val="24"/>
          <w:lang w:val="zh-TW"/>
        </w:rPr>
        <w:t>乙方</w:t>
      </w:r>
      <w:r>
        <w:rPr>
          <w:rFonts w:ascii="宋体" w:hAnsi="宋体" w:eastAsia="宋体" w:cs="微软雅黑"/>
          <w:sz w:val="24"/>
          <w:szCs w:val="24"/>
          <w:lang w:val="zh-TW" w:eastAsia="zh-TW"/>
        </w:rPr>
        <w:t>应对产品安装调试</w:t>
      </w:r>
      <w:r>
        <w:rPr>
          <w:rFonts w:ascii="宋体" w:hAnsi="宋体" w:eastAsia="宋体" w:cs="微软雅黑"/>
          <w:sz w:val="24"/>
          <w:szCs w:val="24"/>
          <w:lang w:val="zh-TW"/>
        </w:rPr>
        <w:t>，</w:t>
      </w:r>
      <w:r>
        <w:rPr>
          <w:rFonts w:ascii="宋体" w:hAnsi="宋体" w:eastAsia="宋体" w:cs="微软雅黑"/>
          <w:sz w:val="24"/>
          <w:szCs w:val="24"/>
        </w:rPr>
        <w:t>如甲方</w:t>
      </w:r>
      <w:r>
        <w:rPr>
          <w:rFonts w:ascii="宋体" w:hAnsi="宋体" w:eastAsia="宋体" w:cs="微软雅黑"/>
          <w:sz w:val="24"/>
          <w:szCs w:val="24"/>
          <w:lang w:val="zh-TW" w:eastAsia="zh-TW"/>
        </w:rPr>
        <w:t>或甲方指定的</w:t>
      </w:r>
      <w:r>
        <w:rPr>
          <w:rFonts w:ascii="宋体" w:hAnsi="宋体" w:eastAsia="宋体" w:cs="微软雅黑"/>
          <w:sz w:val="24"/>
          <w:szCs w:val="24"/>
        </w:rPr>
        <w:t>接</w:t>
      </w:r>
      <w:r>
        <w:rPr>
          <w:rFonts w:ascii="宋体" w:hAnsi="宋体" w:eastAsia="宋体" w:cs="微软雅黑"/>
          <w:sz w:val="24"/>
          <w:szCs w:val="24"/>
          <w:lang w:val="zh-TW" w:eastAsia="zh-TW"/>
        </w:rPr>
        <w:t>收货</w:t>
      </w:r>
      <w:r>
        <w:rPr>
          <w:rFonts w:ascii="宋体" w:hAnsi="宋体" w:eastAsia="宋体" w:cs="微软雅黑"/>
          <w:sz w:val="24"/>
          <w:szCs w:val="24"/>
        </w:rPr>
        <w:t>方无故拒绝接受乙方货物，乙方不承担验收责任。</w:t>
      </w:r>
      <w:r>
        <w:rPr>
          <w:rFonts w:ascii="宋体" w:hAnsi="宋体" w:eastAsia="宋体" w:cs="微软雅黑"/>
          <w:sz w:val="24"/>
          <w:szCs w:val="24"/>
          <w:lang w:val="zh-TW" w:eastAsia="zh-TW"/>
        </w:rPr>
        <w:t>安装成功以</w:t>
      </w:r>
      <w:r>
        <w:rPr>
          <w:rFonts w:ascii="宋体" w:hAnsi="宋体" w:eastAsia="宋体" w:cs="微软雅黑"/>
          <w:sz w:val="24"/>
          <w:szCs w:val="24"/>
          <w:lang w:val="zh-TW"/>
        </w:rPr>
        <w:t>甲方</w:t>
      </w:r>
      <w:r>
        <w:rPr>
          <w:rFonts w:ascii="宋体" w:hAnsi="宋体" w:eastAsia="宋体" w:cs="微软雅黑"/>
          <w:sz w:val="24"/>
          <w:szCs w:val="24"/>
          <w:lang w:val="zh-TW" w:eastAsia="zh-TW"/>
        </w:rPr>
        <w:t>签据验收单为准，</w:t>
      </w:r>
      <w:r>
        <w:rPr>
          <w:rFonts w:ascii="宋体" w:hAnsi="宋体" w:eastAsia="宋体" w:cs="微软雅黑"/>
          <w:sz w:val="24"/>
          <w:szCs w:val="24"/>
        </w:rPr>
        <w:t>如甲方</w:t>
      </w:r>
      <w:r>
        <w:rPr>
          <w:rFonts w:ascii="宋体" w:hAnsi="宋体" w:eastAsia="宋体" w:cs="微软雅黑"/>
          <w:sz w:val="24"/>
          <w:szCs w:val="24"/>
          <w:lang w:val="zh-TW" w:eastAsia="zh-TW"/>
        </w:rPr>
        <w:t>或甲方指定的</w:t>
      </w:r>
      <w:r>
        <w:rPr>
          <w:rFonts w:ascii="宋体" w:hAnsi="宋体" w:eastAsia="宋体" w:cs="微软雅黑"/>
          <w:sz w:val="24"/>
          <w:szCs w:val="24"/>
        </w:rPr>
        <w:t>接</w:t>
      </w:r>
      <w:r>
        <w:rPr>
          <w:rFonts w:ascii="宋体" w:hAnsi="宋体" w:eastAsia="宋体" w:cs="微软雅黑"/>
          <w:sz w:val="24"/>
          <w:szCs w:val="24"/>
          <w:lang w:val="zh-TW" w:eastAsia="zh-TW"/>
        </w:rPr>
        <w:t>收货</w:t>
      </w:r>
      <w:r>
        <w:rPr>
          <w:rFonts w:ascii="宋体" w:hAnsi="宋体" w:eastAsia="宋体" w:cs="微软雅黑"/>
          <w:sz w:val="24"/>
          <w:szCs w:val="24"/>
        </w:rPr>
        <w:t>方在2个工作日内不签据验收单，视为甲方验收合格。</w:t>
      </w:r>
      <w:r>
        <w:rPr>
          <w:rFonts w:ascii="宋体" w:hAnsi="宋体" w:eastAsia="宋体" w:cs="微软雅黑"/>
          <w:sz w:val="24"/>
          <w:szCs w:val="24"/>
          <w:lang w:val="zh-TW" w:eastAsia="zh-TW"/>
        </w:rPr>
        <w:t>因乙方产品原因</w:t>
      </w:r>
      <w:r>
        <w:rPr>
          <w:rFonts w:ascii="宋体" w:hAnsi="宋体" w:eastAsia="宋体" w:cs="微软雅黑"/>
          <w:sz w:val="24"/>
          <w:szCs w:val="24"/>
        </w:rPr>
        <w:t>安装</w:t>
      </w:r>
      <w:r>
        <w:rPr>
          <w:rFonts w:ascii="宋体" w:hAnsi="宋体" w:eastAsia="宋体" w:cs="微软雅黑"/>
          <w:sz w:val="24"/>
          <w:szCs w:val="24"/>
          <w:lang w:val="zh-TW" w:eastAsia="zh-TW"/>
        </w:rPr>
        <w:t>不成功，</w:t>
      </w:r>
      <w:r>
        <w:rPr>
          <w:rFonts w:ascii="宋体" w:hAnsi="宋体" w:eastAsia="宋体" w:cs="微软雅黑"/>
          <w:sz w:val="24"/>
          <w:szCs w:val="24"/>
        </w:rPr>
        <w:t>乙方应及时提供免费调试；如因甲方或甲方指定的用户自身安装环境等原因导致安装不成功，甲方应承担乙方调试所发生的费用；如甲方或甲方指定的用户无故拒绝安装的，视为甲方验收合格。</w:t>
      </w:r>
    </w:p>
    <w:p>
      <w:pPr>
        <w:pStyle w:val="3"/>
        <w:numPr>
          <w:ilvl w:val="0"/>
          <w:numId w:val="6"/>
        </w:numPr>
        <w:tabs>
          <w:tab w:val="clear" w:pos="1830"/>
        </w:tabs>
        <w:spacing w:before="156" w:beforeLines="50" w:after="156" w:afterLines="50" w:line="460" w:lineRule="exact"/>
        <w:jc w:val="left"/>
        <w:rPr>
          <w:rFonts w:ascii="宋体" w:hAnsi="宋体" w:eastAsia="宋体" w:cs="Segoe UI"/>
          <w:b/>
          <w:bCs/>
          <w:sz w:val="24"/>
          <w:szCs w:val="24"/>
        </w:rPr>
      </w:pPr>
      <w:r>
        <w:rPr>
          <w:rFonts w:ascii="宋体" w:hAnsi="宋体" w:eastAsia="宋体" w:cs="Segoe UI"/>
          <w:b/>
          <w:bCs/>
          <w:sz w:val="24"/>
          <w:szCs w:val="24"/>
        </w:rPr>
        <w:t>相关服务（如货物的安装、技术服务支持、保修）</w:t>
      </w:r>
    </w:p>
    <w:p>
      <w:pPr>
        <w:pStyle w:val="130"/>
        <w:tabs>
          <w:tab w:val="left" w:pos="420"/>
        </w:tabs>
        <w:spacing w:line="460" w:lineRule="exact"/>
        <w:ind w:firstLine="484" w:firstLineChars="202"/>
        <w:rPr>
          <w:rFonts w:hint="default" w:ascii="宋体" w:hAnsi="宋体" w:eastAsia="宋体" w:cs="Helvetica"/>
          <w:sz w:val="24"/>
          <w:szCs w:val="24"/>
        </w:rPr>
      </w:pPr>
      <w:r>
        <w:rPr>
          <w:rFonts w:ascii="宋体" w:hAnsi="宋体" w:eastAsia="宋体" w:cs="微软雅黑"/>
          <w:sz w:val="24"/>
          <w:szCs w:val="24"/>
          <w:lang w:eastAsia="zh-TW"/>
        </w:rPr>
        <w:t>本合同价款组成中包括服务部分。双方约定涉及的服务按以下方式进行</w:t>
      </w:r>
      <w:r>
        <w:rPr>
          <w:rFonts w:ascii="宋体" w:hAnsi="宋体" w:eastAsia="宋体" w:cs="微软雅黑"/>
          <w:sz w:val="24"/>
          <w:szCs w:val="24"/>
        </w:rPr>
        <w:t>：</w:t>
      </w:r>
    </w:p>
    <w:p>
      <w:pPr>
        <w:pStyle w:val="130"/>
        <w:tabs>
          <w:tab w:val="left" w:pos="851"/>
        </w:tabs>
        <w:spacing w:line="460" w:lineRule="exact"/>
        <w:ind w:firstLine="480" w:firstLineChars="200"/>
        <w:rPr>
          <w:rFonts w:hint="default" w:ascii="宋体" w:hAnsi="宋体" w:eastAsia="宋体" w:cs="微软雅黑"/>
          <w:color w:val="auto"/>
          <w:sz w:val="24"/>
          <w:szCs w:val="24"/>
          <w:highlight w:val="yellow"/>
          <w:lang w:eastAsia="zh-TW"/>
        </w:rPr>
      </w:pPr>
      <w:r>
        <w:rPr>
          <w:rFonts w:ascii="宋体" w:hAnsi="宋体" w:eastAsia="宋体" w:cs="微软雅黑"/>
          <w:color w:val="auto"/>
          <w:sz w:val="24"/>
          <w:szCs w:val="24"/>
          <w:lang w:eastAsia="zh-TW"/>
        </w:rPr>
        <w:t>乙方提供</w:t>
      </w:r>
      <w:r>
        <w:rPr>
          <w:rFonts w:ascii="宋体" w:hAnsi="宋体" w:eastAsia="宋体" w:cs="微软雅黑"/>
          <w:color w:val="auto"/>
          <w:sz w:val="24"/>
          <w:szCs w:val="24"/>
        </w:rPr>
        <w:t>的</w:t>
      </w:r>
      <w:r>
        <w:rPr>
          <w:rFonts w:ascii="宋体" w:hAnsi="宋体" w:eastAsia="宋体" w:cs="微软雅黑"/>
          <w:color w:val="auto"/>
          <w:sz w:val="24"/>
          <w:szCs w:val="24"/>
          <w:lang w:eastAsia="zh-TW"/>
        </w:rPr>
        <w:t>服务，双方约定乙方的服务内容为：</w:t>
      </w:r>
      <w:r>
        <w:rPr>
          <w:rFonts w:ascii="宋体" w:hAnsi="宋体" w:eastAsia="宋体" w:cs="微软雅黑"/>
          <w:color w:val="auto"/>
          <w:sz w:val="24"/>
          <w:szCs w:val="24"/>
        </w:rPr>
        <w:t>本合</w:t>
      </w:r>
      <w:r>
        <w:rPr>
          <w:rFonts w:hint="default" w:ascii="宋体" w:hAnsi="宋体" w:eastAsia="宋体" w:cs="微软雅黑"/>
          <w:color w:val="auto"/>
          <w:sz w:val="24"/>
          <w:szCs w:val="24"/>
        </w:rPr>
        <w:t>同项下硬件产品提供</w:t>
      </w:r>
      <w:r>
        <w:rPr>
          <w:rFonts w:ascii="宋体" w:hAnsi="宋体" w:eastAsia="宋体" w:cs="微软雅黑"/>
          <w:b/>
          <w:color w:val="auto"/>
          <w:sz w:val="24"/>
          <w:szCs w:val="24"/>
          <w:u w:val="single"/>
        </w:rPr>
        <w:t xml:space="preserve">   个月</w:t>
      </w:r>
      <w:r>
        <w:rPr>
          <w:rFonts w:hint="default" w:ascii="宋体" w:hAnsi="宋体" w:eastAsia="宋体" w:cs="微软雅黑"/>
          <w:color w:val="auto"/>
          <w:sz w:val="24"/>
          <w:szCs w:val="24"/>
        </w:rPr>
        <w:t>免费质保</w:t>
      </w:r>
      <w:r>
        <w:rPr>
          <w:rFonts w:ascii="宋体" w:hAnsi="宋体" w:eastAsia="宋体" w:cs="微软雅黑"/>
          <w:color w:val="auto"/>
          <w:sz w:val="24"/>
          <w:szCs w:val="24"/>
        </w:rPr>
        <w:t>，自交货之日起计算。在服务期内，乙方需免费提供该配套设备的代维服务，提供的服务包括但不限于：日常保养、维护、维修、主要零部件的更换服务。其中，乙方确保所有产品不涉及到知识产权专利纠纷。因知识产权专利产生的任何纠纷，由乙方承担。服务期满后，使用本合同</w:t>
      </w:r>
      <w:r>
        <w:rPr>
          <w:rFonts w:hint="default" w:ascii="宋体" w:hAnsi="宋体" w:eastAsia="宋体" w:cs="微软雅黑"/>
          <w:color w:val="auto"/>
          <w:sz w:val="24"/>
          <w:szCs w:val="24"/>
        </w:rPr>
        <w:t>产品</w:t>
      </w:r>
      <w:r>
        <w:rPr>
          <w:rFonts w:ascii="宋体" w:hAnsi="宋体" w:eastAsia="宋体" w:cs="微软雅黑"/>
          <w:color w:val="auto"/>
          <w:sz w:val="24"/>
          <w:szCs w:val="24"/>
        </w:rPr>
        <w:t>产生的保养、维修费用、相关硬件的更换费用及其他配套服务由甲方和乙方另行协商解决</w:t>
      </w:r>
      <w:r>
        <w:rPr>
          <w:rFonts w:ascii="宋体" w:hAnsi="宋体" w:eastAsia="宋体" w:cs="微软雅黑"/>
          <w:color w:val="auto"/>
          <w:sz w:val="24"/>
          <w:szCs w:val="24"/>
          <w:lang w:val="zh-TW" w:eastAsia="zh-TW"/>
        </w:rPr>
        <w:t>。</w:t>
      </w:r>
    </w:p>
    <w:p>
      <w:pPr>
        <w:pStyle w:val="3"/>
        <w:numPr>
          <w:ilvl w:val="0"/>
          <w:numId w:val="6"/>
        </w:numPr>
        <w:tabs>
          <w:tab w:val="clear" w:pos="1830"/>
        </w:tabs>
        <w:spacing w:before="156" w:beforeLines="50" w:after="156" w:afterLines="50" w:line="460" w:lineRule="exact"/>
        <w:jc w:val="left"/>
        <w:rPr>
          <w:rFonts w:ascii="宋体" w:hAnsi="宋体" w:eastAsia="宋体" w:cs="Segoe UI"/>
          <w:b/>
          <w:bCs/>
          <w:sz w:val="24"/>
          <w:szCs w:val="24"/>
        </w:rPr>
      </w:pPr>
      <w:r>
        <w:rPr>
          <w:rFonts w:ascii="宋体" w:hAnsi="宋体" w:eastAsia="宋体" w:cs="Segoe UI"/>
          <w:b/>
          <w:bCs/>
          <w:sz w:val="24"/>
          <w:szCs w:val="24"/>
        </w:rPr>
        <w:t xml:space="preserve">货物风险转移 </w:t>
      </w:r>
    </w:p>
    <w:p>
      <w:pPr>
        <w:pStyle w:val="113"/>
        <w:framePr w:wrap="auto" w:vAnchor="margin" w:hAnchor="text" w:yAlign="inline"/>
        <w:spacing w:line="460" w:lineRule="exact"/>
        <w:ind w:left="0" w:firstLine="420"/>
        <w:rPr>
          <w:rFonts w:hint="default" w:ascii="宋体" w:hAnsi="宋体" w:eastAsia="宋体" w:cs="微软雅黑"/>
          <w:sz w:val="24"/>
          <w:szCs w:val="24"/>
        </w:rPr>
      </w:pPr>
      <w:r>
        <w:rPr>
          <w:rFonts w:ascii="宋体" w:hAnsi="宋体" w:eastAsia="宋体" w:cs="微软雅黑"/>
          <w:sz w:val="24"/>
          <w:szCs w:val="24"/>
          <w:lang w:val="zh-TW" w:eastAsia="zh-TW"/>
        </w:rPr>
        <w:t>双方一致同意：本合同项下货物毁损、灭失的风险，在乙方交付货物</w:t>
      </w:r>
      <w:r>
        <w:rPr>
          <w:rFonts w:ascii="宋体" w:hAnsi="宋体" w:eastAsia="宋体" w:cs="微软雅黑"/>
          <w:sz w:val="24"/>
          <w:szCs w:val="24"/>
        </w:rPr>
        <w:t>前</w:t>
      </w:r>
      <w:r>
        <w:rPr>
          <w:rFonts w:ascii="宋体" w:hAnsi="宋体" w:eastAsia="宋体" w:cs="微软雅黑"/>
          <w:sz w:val="24"/>
          <w:szCs w:val="24"/>
          <w:lang w:val="zh-TW" w:eastAsia="zh-TW"/>
        </w:rPr>
        <w:t>，由</w:t>
      </w:r>
      <w:r>
        <w:rPr>
          <w:rFonts w:ascii="宋体" w:hAnsi="宋体" w:eastAsia="宋体" w:cs="微软雅黑"/>
          <w:sz w:val="24"/>
          <w:szCs w:val="24"/>
          <w:lang w:val="zh-TW"/>
        </w:rPr>
        <w:t>乙方</w:t>
      </w:r>
      <w:r>
        <w:rPr>
          <w:rFonts w:ascii="宋体" w:hAnsi="宋体" w:eastAsia="宋体" w:cs="微软雅黑"/>
          <w:sz w:val="24"/>
          <w:szCs w:val="24"/>
          <w:lang w:val="zh-TW" w:eastAsia="zh-TW"/>
        </w:rPr>
        <w:t>承担。</w:t>
      </w:r>
      <w:r>
        <w:rPr>
          <w:rFonts w:ascii="宋体" w:hAnsi="宋体" w:eastAsia="宋体" w:cs="微软雅黑"/>
          <w:sz w:val="24"/>
          <w:szCs w:val="24"/>
        </w:rPr>
        <w:t>货物交付后，风险转移至甲方，由甲方承担。</w:t>
      </w:r>
    </w:p>
    <w:p>
      <w:pPr>
        <w:pStyle w:val="3"/>
        <w:numPr>
          <w:ilvl w:val="0"/>
          <w:numId w:val="6"/>
        </w:numPr>
        <w:tabs>
          <w:tab w:val="clear" w:pos="1830"/>
        </w:tabs>
        <w:spacing w:before="156" w:beforeLines="50" w:after="156" w:afterLines="50" w:line="460" w:lineRule="exact"/>
        <w:jc w:val="left"/>
        <w:rPr>
          <w:rFonts w:ascii="宋体" w:hAnsi="宋体" w:eastAsia="宋体" w:cs="Segoe UI"/>
          <w:b/>
          <w:bCs/>
          <w:sz w:val="24"/>
          <w:szCs w:val="24"/>
        </w:rPr>
      </w:pPr>
      <w:r>
        <w:rPr>
          <w:rFonts w:ascii="宋体" w:hAnsi="宋体" w:eastAsia="宋体" w:cs="Segoe UI"/>
          <w:b/>
          <w:bCs/>
          <w:sz w:val="24"/>
          <w:szCs w:val="24"/>
        </w:rPr>
        <w:t>违约责任</w:t>
      </w:r>
    </w:p>
    <w:p>
      <w:pPr>
        <w:pStyle w:val="130"/>
        <w:spacing w:line="460" w:lineRule="exact"/>
        <w:ind w:firstLine="364" w:firstLineChars="151"/>
        <w:rPr>
          <w:rFonts w:hint="default" w:ascii="宋体" w:hAnsi="宋体" w:eastAsia="宋体" w:cs="微软雅黑"/>
          <w:sz w:val="24"/>
          <w:szCs w:val="24"/>
        </w:rPr>
      </w:pPr>
      <w:r>
        <w:rPr>
          <w:rFonts w:hint="default" w:ascii="宋体" w:hAnsi="宋体" w:eastAsia="宋体" w:cs="Segoe UI"/>
          <w:b/>
          <w:color w:val="auto"/>
          <w:kern w:val="0"/>
          <w:sz w:val="24"/>
          <w:szCs w:val="24"/>
          <w:lang w:val="en-GB"/>
        </w:rPr>
        <w:t>1</w:t>
      </w:r>
      <w:r>
        <w:rPr>
          <w:rFonts w:ascii="宋体" w:hAnsi="宋体" w:eastAsia="宋体" w:cs="Segoe UI"/>
          <w:b/>
          <w:color w:val="auto"/>
          <w:kern w:val="0"/>
          <w:sz w:val="24"/>
          <w:szCs w:val="24"/>
          <w:lang w:val="en-GB"/>
        </w:rPr>
        <w:t>、</w:t>
      </w:r>
      <w:r>
        <w:rPr>
          <w:rFonts w:ascii="宋体" w:hAnsi="宋体" w:eastAsia="宋体" w:cs="微软雅黑"/>
          <w:sz w:val="24"/>
          <w:szCs w:val="24"/>
        </w:rPr>
        <w:t>甲方无正当理由中途退货的，应向乙方支付退货部分货款的5%的违约金。</w:t>
      </w:r>
    </w:p>
    <w:p>
      <w:pPr>
        <w:pStyle w:val="130"/>
        <w:spacing w:line="460" w:lineRule="exact"/>
        <w:ind w:firstLine="364" w:firstLineChars="151"/>
        <w:rPr>
          <w:rFonts w:hint="default" w:ascii="宋体" w:hAnsi="宋体" w:eastAsia="宋体" w:cs="微软雅黑"/>
          <w:color w:val="auto"/>
          <w:sz w:val="24"/>
          <w:szCs w:val="24"/>
        </w:rPr>
      </w:pPr>
      <w:r>
        <w:rPr>
          <w:rFonts w:hint="default" w:ascii="宋体" w:hAnsi="宋体" w:eastAsia="宋体" w:cs="Segoe UI"/>
          <w:b/>
          <w:color w:val="auto"/>
          <w:kern w:val="0"/>
          <w:sz w:val="24"/>
          <w:szCs w:val="24"/>
          <w:lang w:val="en-GB"/>
        </w:rPr>
        <w:t>2</w:t>
      </w:r>
      <w:r>
        <w:rPr>
          <w:rFonts w:ascii="宋体" w:hAnsi="宋体" w:eastAsia="宋体" w:cs="Segoe UI"/>
          <w:b/>
          <w:color w:val="auto"/>
          <w:kern w:val="0"/>
          <w:sz w:val="24"/>
          <w:szCs w:val="24"/>
          <w:lang w:val="en-GB"/>
        </w:rPr>
        <w:t>、</w:t>
      </w:r>
      <w:r>
        <w:rPr>
          <w:rFonts w:ascii="宋体" w:hAnsi="宋体" w:eastAsia="宋体" w:cs="微软雅黑"/>
          <w:color w:val="auto"/>
          <w:sz w:val="24"/>
          <w:szCs w:val="24"/>
        </w:rPr>
        <w:t>乙方提供的货物不符合合同</w:t>
      </w:r>
      <w:r>
        <w:rPr>
          <w:rFonts w:ascii="宋体" w:hAnsi="宋体" w:eastAsia="宋体" w:cs="微软雅黑"/>
          <w:b/>
          <w:color w:val="auto"/>
          <w:sz w:val="24"/>
          <w:szCs w:val="24"/>
          <w:u w:val="single"/>
        </w:rPr>
        <w:t>附件</w:t>
      </w:r>
      <w:r>
        <w:rPr>
          <w:rFonts w:ascii="宋体" w:hAnsi="宋体" w:eastAsia="宋体" w:cs="微软雅黑"/>
          <w:color w:val="auto"/>
          <w:sz w:val="24"/>
          <w:szCs w:val="24"/>
        </w:rPr>
        <w:t>规定的，乙方有负责无条件更换。</w:t>
      </w:r>
    </w:p>
    <w:p>
      <w:pPr>
        <w:pStyle w:val="130"/>
        <w:spacing w:line="460" w:lineRule="exact"/>
        <w:ind w:firstLine="364" w:firstLineChars="151"/>
        <w:rPr>
          <w:rFonts w:hint="default" w:ascii="宋体" w:hAnsi="宋体" w:eastAsia="宋体" w:cs="微软雅黑"/>
          <w:color w:val="auto"/>
          <w:sz w:val="24"/>
          <w:szCs w:val="24"/>
        </w:rPr>
      </w:pPr>
      <w:r>
        <w:rPr>
          <w:rFonts w:ascii="宋体" w:hAnsi="宋体" w:eastAsia="宋体" w:cs="微软雅黑"/>
          <w:b/>
          <w:bCs/>
          <w:sz w:val="24"/>
          <w:szCs w:val="24"/>
        </w:rPr>
        <w:t>3、</w:t>
      </w:r>
      <w:r>
        <w:rPr>
          <w:rFonts w:ascii="宋体" w:hAnsi="宋体" w:eastAsia="宋体" w:cs="微软雅黑"/>
          <w:sz w:val="24"/>
          <w:szCs w:val="24"/>
        </w:rPr>
        <w:t>在合同签订后7天，按合同价的3% 提交履约保函，在验收合格后返还。</w:t>
      </w:r>
    </w:p>
    <w:p>
      <w:pPr>
        <w:pStyle w:val="130"/>
        <w:spacing w:line="460" w:lineRule="exact"/>
        <w:ind w:firstLine="364" w:firstLineChars="151"/>
        <w:rPr>
          <w:rFonts w:hint="default" w:ascii="宋体" w:hAnsi="宋体" w:eastAsia="宋体" w:cs="微软雅黑"/>
          <w:color w:val="auto"/>
          <w:sz w:val="24"/>
          <w:szCs w:val="24"/>
        </w:rPr>
      </w:pPr>
      <w:r>
        <w:rPr>
          <w:rFonts w:ascii="宋体" w:hAnsi="宋体" w:eastAsia="宋体" w:cs="Segoe UI"/>
          <w:b/>
          <w:color w:val="auto"/>
          <w:kern w:val="0"/>
          <w:sz w:val="24"/>
          <w:szCs w:val="24"/>
        </w:rPr>
        <w:t>4</w:t>
      </w:r>
      <w:r>
        <w:rPr>
          <w:rFonts w:ascii="宋体" w:hAnsi="宋体" w:eastAsia="宋体" w:cs="Segoe UI"/>
          <w:b/>
          <w:color w:val="auto"/>
          <w:kern w:val="0"/>
          <w:sz w:val="24"/>
          <w:szCs w:val="24"/>
          <w:lang w:val="en-GB"/>
        </w:rPr>
        <w:t>、</w:t>
      </w:r>
      <w:r>
        <w:rPr>
          <w:rFonts w:ascii="宋体" w:hAnsi="宋体" w:eastAsia="宋体" w:cs="微软雅黑"/>
          <w:color w:val="auto"/>
          <w:sz w:val="24"/>
          <w:szCs w:val="24"/>
        </w:rPr>
        <w:t>甲方应严格按照本合同约定向乙方支付本</w:t>
      </w:r>
      <w:r>
        <w:rPr>
          <w:rFonts w:hint="default" w:ascii="宋体" w:hAnsi="宋体" w:eastAsia="宋体" w:cs="微软雅黑"/>
          <w:color w:val="auto"/>
          <w:sz w:val="24"/>
          <w:szCs w:val="24"/>
        </w:rPr>
        <w:t>项目</w:t>
      </w:r>
      <w:r>
        <w:rPr>
          <w:rFonts w:ascii="宋体" w:hAnsi="宋体" w:eastAsia="宋体" w:cs="微软雅黑"/>
          <w:color w:val="auto"/>
          <w:sz w:val="24"/>
          <w:szCs w:val="24"/>
        </w:rPr>
        <w:t>费用，如逾期未付款的,每逾期一日，按应付款总额的0.01%向乙方支付违约金，但违约金总金额不超过应付总费用的10%。如乙方逾期交货（除</w:t>
      </w:r>
      <w:r>
        <w:rPr>
          <w:rFonts w:hint="default" w:ascii="宋体" w:hAnsi="宋体" w:eastAsia="宋体" w:cs="微软雅黑"/>
          <w:color w:val="auto"/>
          <w:sz w:val="24"/>
          <w:szCs w:val="24"/>
        </w:rPr>
        <w:t>甲方要求</w:t>
      </w:r>
      <w:r>
        <w:rPr>
          <w:rFonts w:ascii="宋体" w:hAnsi="宋体" w:eastAsia="宋体" w:cs="微软雅黑"/>
          <w:color w:val="auto"/>
          <w:sz w:val="24"/>
          <w:szCs w:val="24"/>
        </w:rPr>
        <w:t>逾期</w:t>
      </w:r>
      <w:r>
        <w:rPr>
          <w:rFonts w:hint="default" w:ascii="宋体" w:hAnsi="宋体" w:eastAsia="宋体" w:cs="微软雅黑"/>
          <w:color w:val="auto"/>
          <w:sz w:val="24"/>
          <w:szCs w:val="24"/>
        </w:rPr>
        <w:t>交货或</w:t>
      </w:r>
      <w:r>
        <w:rPr>
          <w:rFonts w:ascii="宋体" w:hAnsi="宋体" w:eastAsia="宋体" w:cs="微软雅黑"/>
          <w:color w:val="auto"/>
          <w:sz w:val="24"/>
          <w:szCs w:val="24"/>
        </w:rPr>
        <w:t>由不</w:t>
      </w:r>
      <w:r>
        <w:rPr>
          <w:rFonts w:hint="default" w:ascii="宋体" w:hAnsi="宋体" w:eastAsia="宋体" w:cs="微软雅黑"/>
          <w:color w:val="auto"/>
          <w:sz w:val="24"/>
          <w:szCs w:val="24"/>
        </w:rPr>
        <w:t>可抗力</w:t>
      </w:r>
      <w:r>
        <w:rPr>
          <w:rFonts w:ascii="宋体" w:hAnsi="宋体" w:eastAsia="宋体" w:cs="微软雅黑"/>
          <w:color w:val="auto"/>
          <w:sz w:val="24"/>
          <w:szCs w:val="24"/>
        </w:rPr>
        <w:t>引</w:t>
      </w:r>
      <w:r>
        <w:rPr>
          <w:rFonts w:hint="default" w:ascii="宋体" w:hAnsi="宋体" w:eastAsia="宋体" w:cs="微软雅黑"/>
          <w:color w:val="auto"/>
          <w:sz w:val="24"/>
          <w:szCs w:val="24"/>
        </w:rPr>
        <w:t>起的逾期交货</w:t>
      </w:r>
      <w:r>
        <w:rPr>
          <w:rFonts w:ascii="宋体" w:hAnsi="宋体" w:eastAsia="宋体" w:cs="微软雅黑"/>
          <w:color w:val="auto"/>
          <w:sz w:val="24"/>
          <w:szCs w:val="24"/>
        </w:rPr>
        <w:t>之</w:t>
      </w:r>
      <w:r>
        <w:rPr>
          <w:rFonts w:hint="default" w:ascii="宋体" w:hAnsi="宋体" w:eastAsia="宋体" w:cs="微软雅黑"/>
          <w:color w:val="auto"/>
          <w:sz w:val="24"/>
          <w:szCs w:val="24"/>
        </w:rPr>
        <w:t>外）</w:t>
      </w:r>
      <w:r>
        <w:rPr>
          <w:rFonts w:ascii="宋体" w:hAnsi="宋体" w:eastAsia="宋体" w:cs="微软雅黑"/>
          <w:color w:val="auto"/>
          <w:sz w:val="24"/>
          <w:szCs w:val="24"/>
        </w:rPr>
        <w:t>，逾期未交货的,每逾期一日，按合同总额的0.1%向乙方支付违约金，但违约金总金额不超过合同</w:t>
      </w:r>
      <w:r>
        <w:rPr>
          <w:rFonts w:hint="default" w:ascii="宋体" w:hAnsi="宋体" w:eastAsia="宋体" w:cs="微软雅黑"/>
          <w:color w:val="auto"/>
          <w:sz w:val="24"/>
          <w:szCs w:val="24"/>
        </w:rPr>
        <w:t>总</w:t>
      </w:r>
      <w:r>
        <w:rPr>
          <w:rFonts w:ascii="宋体" w:hAnsi="宋体" w:eastAsia="宋体" w:cs="微软雅黑"/>
          <w:color w:val="auto"/>
          <w:sz w:val="24"/>
          <w:szCs w:val="24"/>
        </w:rPr>
        <w:t>额的10%。</w:t>
      </w:r>
    </w:p>
    <w:p>
      <w:pPr>
        <w:pStyle w:val="3"/>
        <w:numPr>
          <w:ilvl w:val="0"/>
          <w:numId w:val="6"/>
        </w:numPr>
        <w:tabs>
          <w:tab w:val="clear" w:pos="1830"/>
        </w:tabs>
        <w:spacing w:before="156" w:beforeLines="50" w:after="156" w:afterLines="50" w:line="460" w:lineRule="exact"/>
        <w:jc w:val="left"/>
        <w:rPr>
          <w:rFonts w:ascii="宋体" w:hAnsi="宋体" w:eastAsia="宋体" w:cs="Segoe UI"/>
          <w:b/>
          <w:bCs/>
          <w:sz w:val="24"/>
          <w:szCs w:val="24"/>
        </w:rPr>
      </w:pPr>
      <w:r>
        <w:rPr>
          <w:rFonts w:ascii="宋体" w:hAnsi="宋体" w:eastAsia="宋体" w:cs="Segoe UI"/>
          <w:b/>
          <w:bCs/>
          <w:sz w:val="24"/>
          <w:szCs w:val="24"/>
        </w:rPr>
        <w:t>不可抗力</w:t>
      </w:r>
    </w:p>
    <w:p>
      <w:pPr>
        <w:pStyle w:val="130"/>
        <w:tabs>
          <w:tab w:val="left" w:pos="426"/>
        </w:tabs>
        <w:spacing w:line="460" w:lineRule="exact"/>
        <w:ind w:firstLine="484" w:firstLineChars="201"/>
        <w:rPr>
          <w:rFonts w:hint="default" w:ascii="宋体" w:hAnsi="宋体" w:eastAsia="宋体" w:cs="Helvetica"/>
          <w:sz w:val="24"/>
          <w:szCs w:val="24"/>
        </w:rPr>
      </w:pPr>
      <w:r>
        <w:rPr>
          <w:rFonts w:ascii="宋体" w:hAnsi="宋体" w:eastAsia="宋体" w:cs="Segoe UI"/>
          <w:b/>
          <w:color w:val="auto"/>
          <w:kern w:val="0"/>
          <w:sz w:val="24"/>
          <w:szCs w:val="24"/>
          <w:lang w:val="en-GB"/>
        </w:rPr>
        <w:t>1、</w:t>
      </w:r>
      <w:r>
        <w:rPr>
          <w:rFonts w:ascii="宋体" w:hAnsi="宋体" w:eastAsia="宋体" w:cs="微软雅黑"/>
          <w:sz w:val="24"/>
          <w:szCs w:val="24"/>
          <w:lang w:eastAsia="zh-TW"/>
        </w:rPr>
        <w:t>本合同中，不可抗力是指不能预见、不能避免并不能克服的客观情况，包括：战争、火灾、洪水、台风、地震、政策变化或其它人力不可抗拒之事件。不可抗力因素可能出现在货物制造运输、仓储或交付过程中，出现上述不可抗力后，乙方立即通知甲方。</w:t>
      </w:r>
    </w:p>
    <w:p>
      <w:pPr>
        <w:pStyle w:val="130"/>
        <w:tabs>
          <w:tab w:val="left" w:pos="426"/>
        </w:tabs>
        <w:spacing w:line="460" w:lineRule="exact"/>
        <w:ind w:firstLine="484" w:firstLineChars="201"/>
        <w:rPr>
          <w:rFonts w:hint="default" w:ascii="宋体" w:hAnsi="宋体" w:eastAsia="宋体" w:cs="Helvetica"/>
          <w:sz w:val="24"/>
          <w:szCs w:val="24"/>
        </w:rPr>
      </w:pPr>
      <w:r>
        <w:rPr>
          <w:rFonts w:hint="default" w:ascii="宋体" w:hAnsi="宋体" w:eastAsia="宋体" w:cs="Segoe UI"/>
          <w:b/>
          <w:color w:val="auto"/>
          <w:kern w:val="0"/>
          <w:sz w:val="24"/>
          <w:szCs w:val="24"/>
          <w:lang w:val="en-GB"/>
        </w:rPr>
        <w:t>2</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乙方因不可抗力或较大面积传播的突发性传染性疾病造成逾期交货的，乙方不承担任何责任。</w:t>
      </w:r>
    </w:p>
    <w:p>
      <w:pPr>
        <w:pStyle w:val="130"/>
        <w:tabs>
          <w:tab w:val="left" w:pos="426"/>
        </w:tabs>
        <w:spacing w:line="460" w:lineRule="exact"/>
        <w:ind w:firstLine="484" w:firstLineChars="201"/>
        <w:rPr>
          <w:rFonts w:hint="default" w:ascii="宋体" w:hAnsi="宋体" w:eastAsia="宋体" w:cs="Helvetica"/>
          <w:sz w:val="24"/>
          <w:szCs w:val="24"/>
        </w:rPr>
      </w:pPr>
      <w:r>
        <w:rPr>
          <w:rFonts w:hint="default" w:ascii="宋体" w:hAnsi="宋体" w:eastAsia="宋体" w:cs="Segoe UI"/>
          <w:b/>
          <w:color w:val="auto"/>
          <w:kern w:val="0"/>
          <w:sz w:val="24"/>
          <w:szCs w:val="24"/>
          <w:lang w:val="en-GB"/>
        </w:rPr>
        <w:t>3</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双方的任何一方由于不可抗力的原因不能履行合同时，应及时通知对方，并应在上述事件消除后</w:t>
      </w:r>
      <w:r>
        <w:rPr>
          <w:rFonts w:ascii="宋体" w:hAnsi="宋体" w:eastAsia="宋体" w:cs="微软雅黑"/>
          <w:sz w:val="24"/>
          <w:szCs w:val="24"/>
        </w:rPr>
        <w:t>15</w:t>
      </w:r>
      <w:r>
        <w:rPr>
          <w:rFonts w:ascii="宋体" w:hAnsi="宋体" w:eastAsia="宋体" w:cs="微软雅黑"/>
          <w:sz w:val="24"/>
          <w:szCs w:val="24"/>
          <w:lang w:eastAsia="zh-TW"/>
        </w:rPr>
        <w:t>日内提供有关部门的证明。</w:t>
      </w:r>
    </w:p>
    <w:p>
      <w:pPr>
        <w:pStyle w:val="130"/>
        <w:tabs>
          <w:tab w:val="left" w:pos="426"/>
        </w:tabs>
        <w:spacing w:line="460" w:lineRule="exact"/>
        <w:ind w:firstLine="484" w:firstLineChars="201"/>
        <w:rPr>
          <w:rFonts w:hint="default" w:ascii="宋体" w:hAnsi="宋体" w:eastAsia="宋体" w:cs="微软雅黑"/>
          <w:sz w:val="24"/>
          <w:szCs w:val="24"/>
          <w:lang w:eastAsia="zh-TW"/>
        </w:rPr>
      </w:pPr>
      <w:r>
        <w:rPr>
          <w:rFonts w:hint="default" w:ascii="宋体" w:hAnsi="宋体" w:eastAsia="宋体" w:cs="Segoe UI"/>
          <w:b/>
          <w:color w:val="auto"/>
          <w:kern w:val="0"/>
          <w:sz w:val="24"/>
          <w:szCs w:val="24"/>
          <w:lang w:val="en-GB"/>
        </w:rPr>
        <w:t>4</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原厂家遭遇不可抗力视乙方遭受不可抗力。</w:t>
      </w:r>
    </w:p>
    <w:p>
      <w:pPr>
        <w:pStyle w:val="3"/>
        <w:spacing w:before="156" w:beforeLines="50" w:after="156" w:afterLines="50" w:line="460" w:lineRule="exact"/>
        <w:ind w:left="0" w:firstLine="0"/>
        <w:jc w:val="left"/>
        <w:rPr>
          <w:rFonts w:ascii="宋体" w:hAnsi="宋体" w:eastAsia="宋体" w:cs="Segoe UI"/>
          <w:b/>
          <w:bCs/>
          <w:sz w:val="24"/>
          <w:szCs w:val="24"/>
        </w:rPr>
      </w:pPr>
      <w:r>
        <w:rPr>
          <w:rFonts w:hint="eastAsia" w:ascii="宋体" w:hAnsi="宋体" w:eastAsia="宋体" w:cs="Segoe UI"/>
          <w:b/>
          <w:bCs/>
          <w:sz w:val="24"/>
          <w:szCs w:val="24"/>
        </w:rPr>
        <w:t>十一.</w:t>
      </w:r>
      <w:r>
        <w:rPr>
          <w:rFonts w:ascii="宋体" w:hAnsi="宋体" w:eastAsia="宋体" w:cs="Segoe UI"/>
          <w:b/>
          <w:bCs/>
          <w:sz w:val="24"/>
          <w:szCs w:val="24"/>
        </w:rPr>
        <w:t>争议解决方式</w:t>
      </w:r>
    </w:p>
    <w:p>
      <w:pPr>
        <w:pStyle w:val="130"/>
        <w:spacing w:line="460" w:lineRule="exact"/>
        <w:ind w:firstLine="420"/>
        <w:rPr>
          <w:rFonts w:hint="default" w:ascii="宋体" w:hAnsi="宋体" w:eastAsia="宋体" w:cs="微软雅黑"/>
          <w:sz w:val="24"/>
          <w:szCs w:val="24"/>
          <w:lang w:val="zh-TW" w:eastAsia="zh-TW"/>
        </w:rPr>
      </w:pPr>
      <w:r>
        <w:rPr>
          <w:rFonts w:ascii="宋体" w:hAnsi="宋体" w:eastAsia="宋体" w:cs="微软雅黑"/>
          <w:sz w:val="24"/>
          <w:szCs w:val="24"/>
          <w:lang w:val="zh-TW" w:eastAsia="zh-TW"/>
        </w:rPr>
        <w:t>在本合同履行中，若发生争议，双方应先协商解决；协商不成进行诉讼的，双方同意由</w:t>
      </w:r>
      <w:r>
        <w:rPr>
          <w:rFonts w:ascii="宋体" w:hAnsi="宋体" w:eastAsia="宋体" w:cs="微软雅黑"/>
          <w:sz w:val="24"/>
          <w:szCs w:val="24"/>
        </w:rPr>
        <w:t>乙</w:t>
      </w:r>
      <w:r>
        <w:rPr>
          <w:rFonts w:ascii="宋体" w:hAnsi="宋体" w:eastAsia="宋体" w:cs="微软雅黑"/>
          <w:sz w:val="24"/>
          <w:szCs w:val="24"/>
          <w:lang w:val="zh-TW"/>
        </w:rPr>
        <w:t>方</w:t>
      </w:r>
      <w:r>
        <w:rPr>
          <w:rFonts w:ascii="宋体" w:hAnsi="宋体" w:eastAsia="宋体" w:cs="微软雅黑"/>
          <w:sz w:val="24"/>
          <w:szCs w:val="24"/>
          <w:lang w:val="zh-TW" w:eastAsia="zh-TW"/>
        </w:rPr>
        <w:t>所在地人民法院管辖。</w:t>
      </w:r>
    </w:p>
    <w:p>
      <w:pPr>
        <w:pStyle w:val="3"/>
        <w:spacing w:before="156" w:beforeLines="50" w:after="156" w:afterLines="50" w:line="460" w:lineRule="exact"/>
        <w:ind w:left="0" w:firstLine="0"/>
        <w:jc w:val="left"/>
        <w:rPr>
          <w:rFonts w:ascii="宋体" w:hAnsi="宋体" w:eastAsia="宋体" w:cs="Segoe UI"/>
          <w:b/>
          <w:bCs/>
          <w:sz w:val="24"/>
          <w:szCs w:val="24"/>
        </w:rPr>
      </w:pPr>
      <w:r>
        <w:rPr>
          <w:rFonts w:hint="eastAsia" w:ascii="宋体" w:hAnsi="宋体" w:eastAsia="宋体" w:cs="Segoe UI"/>
          <w:b/>
          <w:bCs/>
          <w:sz w:val="24"/>
          <w:szCs w:val="24"/>
        </w:rPr>
        <w:t>十二.</w:t>
      </w:r>
      <w:r>
        <w:rPr>
          <w:rFonts w:ascii="宋体" w:hAnsi="宋体" w:eastAsia="宋体" w:cs="Segoe UI"/>
          <w:b/>
          <w:bCs/>
          <w:sz w:val="24"/>
          <w:szCs w:val="24"/>
        </w:rPr>
        <w:t>合同生效及变更</w:t>
      </w:r>
    </w:p>
    <w:p>
      <w:pPr>
        <w:pStyle w:val="130"/>
        <w:tabs>
          <w:tab w:val="left" w:pos="426"/>
        </w:tabs>
        <w:spacing w:line="460" w:lineRule="exact"/>
        <w:rPr>
          <w:rFonts w:hint="default" w:ascii="宋体" w:hAnsi="宋体" w:eastAsia="宋体" w:cs="Helvetica"/>
          <w:sz w:val="24"/>
          <w:szCs w:val="24"/>
        </w:rPr>
      </w:pPr>
      <w:r>
        <w:rPr>
          <w:rFonts w:hint="default" w:ascii="宋体" w:hAnsi="宋体" w:eastAsia="宋体" w:cs="Segoe UI"/>
          <w:b/>
          <w:color w:val="auto"/>
          <w:kern w:val="0"/>
          <w:sz w:val="24"/>
          <w:szCs w:val="24"/>
          <w:lang w:val="en-GB"/>
        </w:rPr>
        <w:t>1</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本合同自双方加盖公章或合同章之日生效。</w:t>
      </w:r>
    </w:p>
    <w:p>
      <w:pPr>
        <w:pStyle w:val="130"/>
        <w:tabs>
          <w:tab w:val="left" w:pos="426"/>
        </w:tabs>
        <w:spacing w:line="460" w:lineRule="exact"/>
        <w:rPr>
          <w:rFonts w:hint="default" w:ascii="宋体" w:hAnsi="宋体" w:eastAsia="宋体" w:cs="Helvetica"/>
          <w:sz w:val="24"/>
          <w:szCs w:val="24"/>
        </w:rPr>
      </w:pPr>
      <w:r>
        <w:rPr>
          <w:rFonts w:hint="default" w:ascii="宋体" w:hAnsi="宋体" w:eastAsia="宋体" w:cs="Segoe UI"/>
          <w:b/>
          <w:color w:val="auto"/>
          <w:kern w:val="0"/>
          <w:sz w:val="24"/>
          <w:szCs w:val="24"/>
          <w:lang w:val="en-GB"/>
        </w:rPr>
        <w:t>2</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本合同生效后，</w:t>
      </w:r>
      <w:r>
        <w:rPr>
          <w:rFonts w:ascii="宋体" w:hAnsi="宋体" w:eastAsia="宋体" w:cs="微软雅黑"/>
          <w:sz w:val="24"/>
          <w:szCs w:val="24"/>
        </w:rPr>
        <w:t>甲乙</w:t>
      </w:r>
      <w:r>
        <w:rPr>
          <w:rFonts w:ascii="宋体" w:hAnsi="宋体" w:eastAsia="宋体" w:cs="微软雅黑"/>
          <w:sz w:val="24"/>
          <w:szCs w:val="24"/>
          <w:lang w:eastAsia="zh-TW"/>
        </w:rPr>
        <w:t>双方均不得随意变更或解除合同。如一方需要变更合同，双方需另行签订补充协议确认变更事项</w:t>
      </w:r>
      <w:r>
        <w:rPr>
          <w:rFonts w:ascii="宋体" w:hAnsi="宋体" w:eastAsia="宋体" w:cs="微软雅黑"/>
          <w:sz w:val="24"/>
          <w:szCs w:val="24"/>
        </w:rPr>
        <w:t>,</w:t>
      </w:r>
      <w:r>
        <w:rPr>
          <w:rFonts w:ascii="宋体" w:hAnsi="宋体" w:eastAsia="宋体" w:cs="微软雅黑"/>
          <w:sz w:val="24"/>
          <w:szCs w:val="24"/>
          <w:lang w:eastAsia="zh-TW"/>
        </w:rPr>
        <w:t>补充协议在加盖双方公章或合同章后生效。如若双方未就变更事项签订补充协议的</w:t>
      </w:r>
      <w:r>
        <w:rPr>
          <w:rFonts w:ascii="宋体" w:hAnsi="宋体" w:eastAsia="宋体" w:cs="微软雅黑"/>
          <w:sz w:val="24"/>
          <w:szCs w:val="24"/>
        </w:rPr>
        <w:t>,</w:t>
      </w:r>
      <w:r>
        <w:rPr>
          <w:rFonts w:ascii="宋体" w:hAnsi="宋体" w:eastAsia="宋体" w:cs="微软雅黑"/>
          <w:sz w:val="24"/>
          <w:szCs w:val="24"/>
          <w:lang w:eastAsia="zh-TW"/>
        </w:rPr>
        <w:t>提出变更方仍应依本合同约定继续履行，否则视为违约。</w:t>
      </w:r>
    </w:p>
    <w:p>
      <w:pPr>
        <w:pStyle w:val="130"/>
        <w:tabs>
          <w:tab w:val="left" w:pos="426"/>
        </w:tabs>
        <w:spacing w:line="460" w:lineRule="exact"/>
        <w:rPr>
          <w:rFonts w:hint="default" w:ascii="宋体" w:hAnsi="宋体" w:eastAsia="宋体" w:cs="微软雅黑"/>
          <w:sz w:val="24"/>
          <w:szCs w:val="24"/>
          <w:lang w:eastAsia="zh-TW"/>
        </w:rPr>
      </w:pPr>
      <w:r>
        <w:rPr>
          <w:rFonts w:hint="default" w:ascii="宋体" w:hAnsi="宋体" w:eastAsia="宋体" w:cs="Segoe UI"/>
          <w:b/>
          <w:color w:val="auto"/>
          <w:kern w:val="0"/>
          <w:sz w:val="24"/>
          <w:szCs w:val="24"/>
          <w:lang w:val="en-GB"/>
        </w:rPr>
        <w:t>3</w:t>
      </w:r>
      <w:r>
        <w:rPr>
          <w:rFonts w:ascii="宋体" w:hAnsi="宋体" w:eastAsia="宋体" w:cs="Segoe UI"/>
          <w:b/>
          <w:color w:val="auto"/>
          <w:kern w:val="0"/>
          <w:sz w:val="24"/>
          <w:szCs w:val="24"/>
          <w:lang w:val="en-GB"/>
        </w:rPr>
        <w:t>、</w:t>
      </w:r>
      <w:r>
        <w:rPr>
          <w:rFonts w:ascii="宋体" w:hAnsi="宋体" w:eastAsia="宋体" w:cs="微软雅黑"/>
          <w:sz w:val="24"/>
          <w:szCs w:val="24"/>
          <w:lang w:eastAsia="zh-TW"/>
        </w:rPr>
        <w:t>本合同一式</w:t>
      </w:r>
      <w:r>
        <w:rPr>
          <w:rFonts w:ascii="宋体" w:hAnsi="宋体" w:eastAsia="宋体" w:cs="微软雅黑"/>
          <w:sz w:val="24"/>
          <w:szCs w:val="24"/>
        </w:rPr>
        <w:t>陆</w:t>
      </w:r>
      <w:r>
        <w:rPr>
          <w:rFonts w:ascii="宋体" w:hAnsi="宋体" w:eastAsia="宋体" w:cs="微软雅黑"/>
          <w:sz w:val="24"/>
          <w:szCs w:val="24"/>
          <w:lang w:eastAsia="zh-TW"/>
        </w:rPr>
        <w:t>份，</w:t>
      </w:r>
      <w:r>
        <w:rPr>
          <w:rFonts w:ascii="宋体" w:hAnsi="宋体" w:eastAsia="宋体" w:cs="微软雅黑"/>
          <w:sz w:val="24"/>
          <w:szCs w:val="24"/>
        </w:rPr>
        <w:t>甲方执肆份、乙方</w:t>
      </w:r>
      <w:r>
        <w:rPr>
          <w:rFonts w:ascii="宋体" w:hAnsi="宋体" w:eastAsia="宋体" w:cs="微软雅黑"/>
          <w:sz w:val="24"/>
          <w:szCs w:val="24"/>
          <w:lang w:eastAsia="zh-TW"/>
        </w:rPr>
        <w:t>执贰份，传真件</w:t>
      </w:r>
      <w:r>
        <w:rPr>
          <w:rFonts w:hint="default" w:ascii="宋体" w:hAnsi="宋体" w:eastAsia="宋体" w:cs="微软雅黑"/>
          <w:sz w:val="24"/>
          <w:szCs w:val="24"/>
          <w:lang w:eastAsia="zh-TW"/>
        </w:rPr>
        <w:t>、扫描件与合同原件</w:t>
      </w:r>
      <w:r>
        <w:rPr>
          <w:rFonts w:ascii="宋体" w:hAnsi="宋体" w:eastAsia="宋体" w:cs="微软雅黑"/>
          <w:sz w:val="24"/>
          <w:szCs w:val="24"/>
          <w:lang w:eastAsia="zh-TW"/>
        </w:rPr>
        <w:t>具同等法律效力。</w:t>
      </w:r>
    </w:p>
    <w:p>
      <w:pPr>
        <w:pStyle w:val="3"/>
        <w:spacing w:before="156" w:beforeLines="50" w:after="156" w:afterLines="50" w:line="460" w:lineRule="exact"/>
        <w:ind w:left="0" w:firstLine="0"/>
        <w:jc w:val="left"/>
        <w:rPr>
          <w:rFonts w:ascii="宋体" w:hAnsi="宋体" w:eastAsia="宋体" w:cs="Segoe UI"/>
          <w:sz w:val="24"/>
          <w:szCs w:val="24"/>
        </w:rPr>
      </w:pPr>
      <w:r>
        <w:rPr>
          <w:rFonts w:hint="eastAsia" w:ascii="宋体" w:hAnsi="宋体" w:eastAsia="宋体" w:cs="Segoe UI"/>
          <w:b/>
          <w:bCs/>
          <w:sz w:val="24"/>
          <w:szCs w:val="24"/>
        </w:rPr>
        <w:t>十三.</w:t>
      </w:r>
      <w:r>
        <w:rPr>
          <w:rFonts w:ascii="宋体" w:hAnsi="宋体" w:eastAsia="宋体" w:cs="Segoe UI"/>
          <w:b/>
          <w:bCs/>
          <w:sz w:val="24"/>
          <w:szCs w:val="24"/>
        </w:rPr>
        <w:t>其他补充事项：</w:t>
      </w:r>
      <w:r>
        <w:rPr>
          <w:rFonts w:hint="eastAsia" w:ascii="宋体" w:hAnsi="宋体" w:eastAsia="宋体" w:cs="Segoe UI"/>
          <w:b/>
          <w:bCs/>
          <w:sz w:val="24"/>
          <w:szCs w:val="24"/>
        </w:rPr>
        <w:t xml:space="preserve"> </w:t>
      </w:r>
    </w:p>
    <w:p>
      <w:pPr>
        <w:spacing w:line="460" w:lineRule="exact"/>
        <w:ind w:firstLine="364" w:firstLineChars="152"/>
        <w:rPr>
          <w:rFonts w:ascii="宋体" w:hAnsi="宋体" w:cs="Segoe UI"/>
          <w:sz w:val="24"/>
        </w:rPr>
      </w:pPr>
      <w:r>
        <w:rPr>
          <w:rFonts w:hint="eastAsia" w:ascii="宋体" w:hAnsi="宋体" w:cs="Segoe UI"/>
          <w:sz w:val="24"/>
        </w:rPr>
        <w:t>投标文件视为合同的一部分，</w:t>
      </w:r>
      <w:r>
        <w:rPr>
          <w:rFonts w:ascii="宋体" w:hAnsi="宋体" w:cs="微软雅黑"/>
          <w:sz w:val="24"/>
          <w:lang w:eastAsia="zh-TW"/>
        </w:rPr>
        <w:t>具同等法律效力。</w:t>
      </w:r>
    </w:p>
    <w:p>
      <w:pPr>
        <w:pStyle w:val="130"/>
        <w:spacing w:line="460" w:lineRule="exact"/>
        <w:rPr>
          <w:rFonts w:hint="default" w:ascii="宋体" w:hAnsi="宋体" w:eastAsia="宋体" w:cs="微软雅黑"/>
          <w:b/>
          <w:bCs/>
          <w:sz w:val="24"/>
          <w:szCs w:val="24"/>
          <w:lang w:val="zh-TW"/>
        </w:rPr>
      </w:pPr>
    </w:p>
    <w:p>
      <w:pPr>
        <w:pStyle w:val="130"/>
        <w:spacing w:line="460" w:lineRule="exact"/>
        <w:rPr>
          <w:rFonts w:hint="default" w:ascii="宋体" w:hAnsi="宋体" w:eastAsia="宋体" w:cs="微软雅黑"/>
          <w:sz w:val="24"/>
          <w:szCs w:val="24"/>
          <w:lang w:val="zh-TW"/>
        </w:rPr>
      </w:pPr>
      <w:r>
        <w:rPr>
          <w:rFonts w:ascii="宋体" w:hAnsi="宋体" w:eastAsia="宋体" w:cs="微软雅黑"/>
          <w:b/>
          <w:bCs/>
          <w:sz w:val="24"/>
          <w:szCs w:val="24"/>
          <w:lang w:val="zh-TW" w:eastAsia="zh-TW"/>
        </w:rPr>
        <w:t>甲方：</w:t>
      </w:r>
      <w:r>
        <w:rPr>
          <w:rFonts w:ascii="宋体" w:hAnsi="宋体" w:eastAsia="宋体" w:cs="微软雅黑"/>
          <w:b/>
          <w:bCs/>
          <w:sz w:val="24"/>
          <w:szCs w:val="24"/>
        </w:rPr>
        <w:t xml:space="preserve">                     </w:t>
      </w:r>
      <w:r>
        <w:rPr>
          <w:rFonts w:ascii="宋体" w:hAnsi="宋体" w:eastAsia="宋体" w:cs="微软雅黑"/>
          <w:b/>
          <w:bCs/>
          <w:sz w:val="24"/>
          <w:szCs w:val="24"/>
          <w:lang w:val="zh-TW"/>
        </w:rPr>
        <w:t xml:space="preserve">            </w:t>
      </w:r>
      <w:r>
        <w:rPr>
          <w:rFonts w:ascii="宋体" w:hAnsi="宋体" w:eastAsia="宋体" w:cs="微软雅黑"/>
          <w:b/>
          <w:bCs/>
          <w:sz w:val="24"/>
          <w:szCs w:val="24"/>
          <w:lang w:val="zh-TW" w:eastAsia="zh-TW"/>
        </w:rPr>
        <w:t>乙方：</w:t>
      </w:r>
      <w:r>
        <w:rPr>
          <w:rFonts w:hint="default" w:ascii="宋体" w:hAnsi="宋体" w:eastAsia="宋体" w:cs="微软雅黑"/>
          <w:b/>
          <w:bCs/>
          <w:sz w:val="24"/>
          <w:szCs w:val="24"/>
        </w:rPr>
        <w:t xml:space="preserve"> </w:t>
      </w:r>
    </w:p>
    <w:p>
      <w:pPr>
        <w:pStyle w:val="130"/>
        <w:spacing w:line="460" w:lineRule="exact"/>
        <w:rPr>
          <w:rFonts w:hint="default" w:ascii="宋体" w:hAnsi="宋体" w:eastAsia="宋体" w:cs="微软雅黑"/>
          <w:sz w:val="24"/>
          <w:szCs w:val="24"/>
          <w:lang w:val="zh-TW" w:eastAsia="zh-TW"/>
        </w:rPr>
      </w:pPr>
    </w:p>
    <w:p>
      <w:pPr>
        <w:pStyle w:val="130"/>
        <w:spacing w:line="460" w:lineRule="exact"/>
        <w:rPr>
          <w:rFonts w:hint="default" w:ascii="宋体" w:hAnsi="宋体" w:eastAsia="宋体" w:cs="微软雅黑"/>
          <w:sz w:val="24"/>
          <w:szCs w:val="24"/>
          <w:lang w:val="zh-TW" w:eastAsia="zh-TW"/>
        </w:rPr>
      </w:pPr>
      <w:r>
        <w:rPr>
          <w:rFonts w:ascii="宋体" w:hAnsi="宋体" w:eastAsia="宋体" w:cs="微软雅黑"/>
          <w:sz w:val="24"/>
          <w:szCs w:val="24"/>
          <w:lang w:val="zh-TW" w:eastAsia="zh-TW"/>
        </w:rPr>
        <w:t xml:space="preserve">盖章：                        </w:t>
      </w:r>
      <w:r>
        <w:rPr>
          <w:rFonts w:ascii="宋体" w:hAnsi="宋体" w:eastAsia="宋体" w:cs="微软雅黑"/>
          <w:sz w:val="24"/>
          <w:szCs w:val="24"/>
          <w:lang w:val="zh-TW"/>
        </w:rPr>
        <w:t xml:space="preserve">          </w:t>
      </w:r>
      <w:r>
        <w:rPr>
          <w:rFonts w:ascii="宋体" w:hAnsi="宋体" w:eastAsia="宋体" w:cs="微软雅黑"/>
          <w:sz w:val="24"/>
          <w:szCs w:val="24"/>
          <w:lang w:val="zh-TW" w:eastAsia="zh-TW"/>
        </w:rPr>
        <w:t>盖章：</w:t>
      </w:r>
    </w:p>
    <w:p>
      <w:pPr>
        <w:pStyle w:val="130"/>
        <w:spacing w:line="460" w:lineRule="exact"/>
        <w:rPr>
          <w:rFonts w:hint="default" w:ascii="宋体" w:hAnsi="宋体" w:eastAsia="宋体" w:cs="微软雅黑"/>
          <w:sz w:val="24"/>
          <w:szCs w:val="24"/>
        </w:rPr>
      </w:pPr>
    </w:p>
    <w:p>
      <w:pPr>
        <w:pStyle w:val="130"/>
        <w:spacing w:line="460" w:lineRule="exact"/>
        <w:rPr>
          <w:rFonts w:hint="default" w:ascii="宋体" w:hAnsi="宋体" w:eastAsia="宋体" w:cs="微软雅黑"/>
          <w:sz w:val="24"/>
          <w:szCs w:val="24"/>
          <w:lang w:val="zh-TW"/>
        </w:rPr>
        <w:sectPr>
          <w:footerReference r:id="rId6" w:type="default"/>
          <w:pgSz w:w="11906" w:h="16838"/>
          <w:pgMar w:top="1440" w:right="1416" w:bottom="1560" w:left="1418" w:header="851" w:footer="853" w:gutter="0"/>
          <w:cols w:space="720" w:num="1"/>
          <w:docGrid w:type="lines" w:linePitch="312" w:charSpace="0"/>
        </w:sectPr>
      </w:pPr>
      <w:r>
        <w:rPr>
          <w:rFonts w:ascii="宋体" w:hAnsi="宋体" w:eastAsia="宋体" w:cs="微软雅黑"/>
          <w:sz w:val="24"/>
          <w:szCs w:val="24"/>
          <w:lang w:val="zh-TW" w:eastAsia="zh-TW"/>
        </w:rPr>
        <w:t xml:space="preserve">   </w:t>
      </w:r>
      <w:r>
        <w:rPr>
          <w:rFonts w:ascii="宋体" w:hAnsi="宋体" w:eastAsia="宋体" w:cs="微软雅黑"/>
          <w:sz w:val="24"/>
          <w:szCs w:val="24"/>
          <w:lang w:val="zh-TW"/>
        </w:rPr>
        <w:t xml:space="preserve"> </w:t>
      </w:r>
      <w:r>
        <w:rPr>
          <w:rFonts w:hint="default" w:ascii="宋体" w:hAnsi="宋体" w:eastAsia="宋体" w:cs="微软雅黑"/>
          <w:sz w:val="24"/>
          <w:szCs w:val="24"/>
          <w:lang w:val="zh-TW" w:eastAsia="zh-TW"/>
        </w:rPr>
        <w:t xml:space="preserve"> </w:t>
      </w:r>
      <w:r>
        <w:rPr>
          <w:rFonts w:ascii="宋体" w:hAnsi="宋体" w:eastAsia="宋体" w:cs="微软雅黑"/>
          <w:sz w:val="24"/>
          <w:szCs w:val="24"/>
          <w:lang w:val="zh-TW" w:eastAsia="zh-TW"/>
        </w:rPr>
        <w:t xml:space="preserve">年   月   日                       </w:t>
      </w:r>
      <w:r>
        <w:rPr>
          <w:rFonts w:ascii="宋体" w:hAnsi="宋体" w:eastAsia="宋体" w:cs="微软雅黑"/>
          <w:sz w:val="24"/>
          <w:szCs w:val="24"/>
          <w:lang w:val="zh-TW"/>
        </w:rPr>
        <w:t xml:space="preserve">   </w:t>
      </w:r>
      <w:r>
        <w:rPr>
          <w:rFonts w:ascii="宋体" w:hAnsi="宋体" w:eastAsia="宋体" w:cs="微软雅黑"/>
          <w:sz w:val="24"/>
          <w:szCs w:val="24"/>
          <w:lang w:val="zh-TW" w:eastAsia="zh-TW"/>
        </w:rPr>
        <w:t xml:space="preserve"> 年 </w:t>
      </w:r>
      <w:r>
        <w:rPr>
          <w:rFonts w:hint="default" w:ascii="宋体" w:hAnsi="宋体" w:eastAsia="宋体" w:cs="微软雅黑"/>
          <w:sz w:val="24"/>
          <w:szCs w:val="24"/>
          <w:lang w:val="zh-TW" w:eastAsia="zh-TW"/>
        </w:rPr>
        <w:t xml:space="preserve"> </w:t>
      </w:r>
      <w:r>
        <w:rPr>
          <w:rFonts w:ascii="宋体" w:hAnsi="宋体" w:eastAsia="宋体" w:cs="微软雅黑"/>
          <w:sz w:val="24"/>
          <w:szCs w:val="24"/>
          <w:lang w:val="zh-TW" w:eastAsia="zh-TW"/>
        </w:rPr>
        <w:t xml:space="preserve">   月  </w:t>
      </w:r>
      <w:r>
        <w:rPr>
          <w:rFonts w:hint="default" w:ascii="宋体" w:hAnsi="宋体" w:eastAsia="宋体" w:cs="微软雅黑"/>
          <w:sz w:val="24"/>
          <w:szCs w:val="24"/>
          <w:lang w:val="zh-TW" w:eastAsia="zh-TW"/>
        </w:rPr>
        <w:t xml:space="preserve"> </w:t>
      </w:r>
      <w:r>
        <w:rPr>
          <w:rFonts w:ascii="宋体" w:hAnsi="宋体" w:eastAsia="宋体" w:cs="微软雅黑"/>
          <w:sz w:val="24"/>
          <w:szCs w:val="24"/>
          <w:lang w:val="zh-TW" w:eastAsia="zh-TW"/>
        </w:rPr>
        <w:t xml:space="preserve"> </w:t>
      </w:r>
      <w:r>
        <w:rPr>
          <w:rFonts w:ascii="宋体" w:hAnsi="宋体" w:eastAsia="宋体" w:cs="微软雅黑"/>
          <w:sz w:val="24"/>
          <w:szCs w:val="24"/>
          <w:lang w:val="zh-TW"/>
        </w:rPr>
        <w:t>日</w:t>
      </w:r>
    </w:p>
    <w:p>
      <w:pPr>
        <w:pStyle w:val="3"/>
        <w:keepNext w:val="0"/>
        <w:spacing w:before="360" w:beforeLines="150" w:after="240" w:afterLines="100" w:line="460" w:lineRule="exact"/>
        <w:ind w:left="0" w:firstLine="0"/>
        <w:jc w:val="center"/>
        <w:rPr>
          <w:rFonts w:ascii="宋体" w:hAnsi="宋体" w:eastAsia="宋体"/>
          <w:b/>
          <w:kern w:val="0"/>
          <w:highlight w:val="green"/>
        </w:rPr>
      </w:pPr>
      <w:r>
        <w:rPr>
          <w:rFonts w:hint="eastAsia" w:ascii="宋体" w:hAnsi="宋体" w:eastAsia="宋体"/>
          <w:b/>
          <w:kern w:val="0"/>
        </w:rPr>
        <w:t xml:space="preserve">第四章 </w:t>
      </w:r>
      <w:bookmarkEnd w:id="61"/>
      <w:r>
        <w:rPr>
          <w:rFonts w:hint="eastAsia" w:ascii="宋体" w:hAnsi="宋体" w:eastAsia="宋体"/>
          <w:b/>
          <w:kern w:val="0"/>
        </w:rPr>
        <w:t xml:space="preserve"> 技术规格标准</w:t>
      </w:r>
      <w:bookmarkEnd w:id="62"/>
      <w:bookmarkEnd w:id="63"/>
      <w:r>
        <w:rPr>
          <w:rFonts w:hint="eastAsia" w:ascii="宋体" w:hAnsi="宋体" w:eastAsia="宋体"/>
          <w:b/>
          <w:kern w:val="0"/>
        </w:rPr>
        <w:t>及相关要求</w:t>
      </w:r>
    </w:p>
    <w:p>
      <w:pPr>
        <w:spacing w:line="360" w:lineRule="auto"/>
        <w:jc w:val="left"/>
        <w:rPr>
          <w:rFonts w:hint="eastAsia" w:ascii="宋体" w:hAnsi="宋体" w:eastAsia="宋体" w:cs="宋体"/>
          <w:b/>
          <w:bCs/>
          <w:sz w:val="24"/>
          <w:szCs w:val="24"/>
        </w:rPr>
      </w:pPr>
      <w:bookmarkStart w:id="64" w:name="_Toc356993568"/>
      <w:bookmarkStart w:id="65" w:name="_Toc356993555"/>
      <w:bookmarkStart w:id="66" w:name="_Toc178044904"/>
      <w:bookmarkStart w:id="67" w:name="_Toc180993038"/>
      <w:r>
        <w:rPr>
          <w:rFonts w:hint="eastAsia" w:ascii="宋体" w:hAnsi="宋体" w:eastAsia="宋体" w:cs="宋体"/>
          <w:b/>
          <w:bCs/>
          <w:sz w:val="24"/>
          <w:szCs w:val="24"/>
        </w:rPr>
        <w:t>一、招标内容</w:t>
      </w:r>
    </w:p>
    <w:p>
      <w:pPr>
        <w:pStyle w:val="141"/>
        <w:keepLines/>
        <w:pageBreakBefore w:val="0"/>
        <w:widowControl/>
        <w:numPr>
          <w:ilvl w:val="0"/>
          <w:numId w:val="0"/>
        </w:numPr>
        <w:kinsoku/>
        <w:wordWrap/>
        <w:overflowPunct/>
        <w:topLinePunct w:val="0"/>
        <w:autoSpaceDE/>
        <w:autoSpaceDN/>
        <w:bidi w:val="0"/>
        <w:adjustRightInd/>
        <w:snapToGrid/>
        <w:spacing w:before="312" w:beforeAutospacing="0" w:after="156" w:afterAutospacing="0" w:line="540" w:lineRule="exact"/>
        <w:jc w:val="both"/>
        <w:textAlignment w:val="baseline"/>
        <w:outlineLvl w:val="1"/>
        <w:rPr>
          <w:rStyle w:val="140"/>
          <w:rFonts w:hint="eastAsia" w:ascii="宋体" w:hAnsi="宋体" w:eastAsia="宋体" w:cs="宋体"/>
          <w:b/>
          <w:bCs/>
          <w:i w:val="0"/>
          <w:caps w:val="0"/>
          <w:spacing w:val="0"/>
          <w:w w:val="100"/>
          <w:kern w:val="2"/>
          <w:sz w:val="24"/>
          <w:szCs w:val="24"/>
          <w:lang w:val="en-US" w:eastAsia="zh-CN" w:bidi="ar-SA"/>
        </w:rPr>
      </w:pPr>
      <w:bookmarkStart w:id="68" w:name="_Toc21135"/>
      <w:r>
        <w:rPr>
          <w:rStyle w:val="140"/>
          <w:rFonts w:hint="eastAsia" w:ascii="宋体" w:hAnsi="宋体" w:eastAsia="宋体" w:cs="宋体"/>
          <w:b/>
          <w:bCs/>
          <w:i w:val="0"/>
          <w:caps w:val="0"/>
          <w:spacing w:val="0"/>
          <w:w w:val="100"/>
          <w:kern w:val="2"/>
          <w:sz w:val="24"/>
          <w:szCs w:val="24"/>
          <w:lang w:val="en-US" w:eastAsia="zh-CN" w:bidi="ar-SA"/>
        </w:rPr>
        <w:t>1.项目概况</w:t>
      </w:r>
      <w:bookmarkEnd w:id="68"/>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zh-CN" w:eastAsia="zh-CN" w:bidi="ar-SA"/>
        </w:rPr>
        <w:t>亳州市人力资源和社会保障局会议室项目包含</w:t>
      </w:r>
      <w:r>
        <w:rPr>
          <w:rStyle w:val="140"/>
          <w:rFonts w:hint="eastAsia" w:ascii="宋体" w:hAnsi="宋体" w:eastAsia="宋体" w:cs="宋体"/>
          <w:b w:val="0"/>
          <w:i w:val="0"/>
          <w:caps w:val="0"/>
          <w:spacing w:val="0"/>
          <w:w w:val="100"/>
          <w:kern w:val="2"/>
          <w:sz w:val="24"/>
          <w:szCs w:val="24"/>
          <w:lang w:val="en-US" w:eastAsia="zh-CN" w:bidi="ar-SA"/>
        </w:rPr>
        <w:t>7楼、10楼会议室改造及7楼接待室改造。</w:t>
      </w:r>
    </w:p>
    <w:p>
      <w:pPr>
        <w:pStyle w:val="142"/>
        <w:keepLines/>
        <w:pageBreakBefore w:val="0"/>
        <w:widowControl/>
        <w:numPr>
          <w:ilvl w:val="0"/>
          <w:numId w:val="0"/>
        </w:numPr>
        <w:tabs>
          <w:tab w:val="left" w:pos="432"/>
        </w:tabs>
        <w:kinsoku/>
        <w:wordWrap/>
        <w:overflowPunct/>
        <w:topLinePunct w:val="0"/>
        <w:autoSpaceDE/>
        <w:autoSpaceDN/>
        <w:bidi w:val="0"/>
        <w:adjustRightInd/>
        <w:snapToGrid/>
        <w:spacing w:before="260" w:beforeAutospacing="0" w:after="260" w:afterAutospacing="0" w:line="540" w:lineRule="exact"/>
        <w:jc w:val="both"/>
        <w:textAlignment w:val="baseline"/>
        <w:outlineLvl w:val="0"/>
        <w:rPr>
          <w:rStyle w:val="140"/>
          <w:rFonts w:hint="eastAsia" w:ascii="宋体" w:hAnsi="宋体" w:eastAsia="宋体" w:cs="宋体"/>
          <w:b w:val="0"/>
          <w:bCs w:val="0"/>
          <w:i w:val="0"/>
          <w:caps w:val="0"/>
          <w:spacing w:val="0"/>
          <w:w w:val="100"/>
          <w:kern w:val="44"/>
          <w:sz w:val="24"/>
          <w:szCs w:val="24"/>
          <w:lang w:val="en-US" w:eastAsia="zh-CN" w:bidi="ar-SA"/>
        </w:rPr>
      </w:pPr>
      <w:bookmarkStart w:id="69" w:name="_Toc29890"/>
      <w:r>
        <w:rPr>
          <w:rStyle w:val="140"/>
          <w:rFonts w:hint="eastAsia" w:ascii="宋体" w:hAnsi="宋体" w:eastAsia="宋体" w:cs="宋体"/>
          <w:b/>
          <w:bCs/>
          <w:i w:val="0"/>
          <w:caps w:val="0"/>
          <w:spacing w:val="0"/>
          <w:w w:val="100"/>
          <w:kern w:val="44"/>
          <w:sz w:val="24"/>
          <w:szCs w:val="24"/>
          <w:lang w:val="en-US" w:eastAsia="zh-CN" w:bidi="ar-SA"/>
        </w:rPr>
        <w:t>2</w:t>
      </w:r>
      <w:r>
        <w:rPr>
          <w:rStyle w:val="140"/>
          <w:rFonts w:hint="eastAsia" w:ascii="宋体" w:hAnsi="宋体" w:eastAsia="宋体" w:cs="宋体"/>
          <w:b w:val="0"/>
          <w:bCs w:val="0"/>
          <w:i w:val="0"/>
          <w:caps w:val="0"/>
          <w:spacing w:val="0"/>
          <w:w w:val="100"/>
          <w:kern w:val="44"/>
          <w:sz w:val="24"/>
          <w:szCs w:val="24"/>
          <w:lang w:val="en-US" w:eastAsia="zh-CN" w:bidi="ar-SA"/>
        </w:rPr>
        <w:t>.</w:t>
      </w:r>
      <w:r>
        <w:rPr>
          <w:rStyle w:val="140"/>
          <w:rFonts w:hint="eastAsia" w:ascii="宋体" w:hAnsi="宋体" w:eastAsia="宋体" w:cs="宋体"/>
          <w:b/>
          <w:bCs/>
          <w:i w:val="0"/>
          <w:caps w:val="0"/>
          <w:spacing w:val="0"/>
          <w:w w:val="100"/>
          <w:kern w:val="44"/>
          <w:sz w:val="24"/>
          <w:szCs w:val="24"/>
          <w:lang w:val="en-US" w:eastAsia="zh-CN" w:bidi="ar-SA"/>
        </w:rPr>
        <w:t>项目建设的必要性</w:t>
      </w:r>
      <w:bookmarkEnd w:id="69"/>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zh-CN" w:eastAsia="zh-CN" w:bidi="ar-SA"/>
        </w:rPr>
      </w:pPr>
      <w:r>
        <w:rPr>
          <w:rStyle w:val="140"/>
          <w:rFonts w:hint="eastAsia" w:ascii="宋体" w:hAnsi="宋体" w:eastAsia="宋体" w:cs="宋体"/>
          <w:b w:val="0"/>
          <w:i w:val="0"/>
          <w:caps w:val="0"/>
          <w:spacing w:val="0"/>
          <w:w w:val="100"/>
          <w:kern w:val="2"/>
          <w:sz w:val="24"/>
          <w:szCs w:val="24"/>
          <w:lang w:val="zh-CN" w:eastAsia="zh-CN" w:bidi="ar-SA"/>
        </w:rPr>
        <w:t>亳州市人力资源和社会保障局会议室现有会议系统建设时间较久，经过多年高频使用，会议室系统故障时有发生，运维保障较为复杂；为提高工作效率，拟采购会议室系统改造项目。</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color w:val="FF0000"/>
          <w:spacing w:val="0"/>
          <w:w w:val="100"/>
          <w:kern w:val="2"/>
          <w:sz w:val="24"/>
          <w:szCs w:val="24"/>
          <w:lang w:val="zh-CN" w:eastAsia="zh-CN" w:bidi="ar-SA"/>
        </w:rPr>
      </w:pPr>
      <w:r>
        <w:rPr>
          <w:rStyle w:val="140"/>
          <w:rFonts w:hint="eastAsia" w:ascii="宋体" w:hAnsi="宋体" w:eastAsia="宋体" w:cs="宋体"/>
          <w:b w:val="0"/>
          <w:i w:val="0"/>
          <w:caps w:val="0"/>
          <w:spacing w:val="0"/>
          <w:w w:val="100"/>
          <w:kern w:val="2"/>
          <w:sz w:val="24"/>
          <w:szCs w:val="24"/>
          <w:lang w:val="zh-CN" w:eastAsia="zh-CN" w:bidi="ar-SA"/>
        </w:rPr>
        <w:t>按照“需求牵引、瞄准前沿、确保可行、利于发展”的思路，</w:t>
      </w:r>
      <w:r>
        <w:rPr>
          <w:rStyle w:val="140"/>
          <w:rFonts w:hint="eastAsia" w:ascii="宋体" w:hAnsi="宋体" w:eastAsia="宋体" w:cs="宋体"/>
          <w:b w:val="0"/>
          <w:i w:val="0"/>
          <w:caps w:val="0"/>
          <w:color w:val="auto"/>
          <w:spacing w:val="0"/>
          <w:w w:val="100"/>
          <w:kern w:val="2"/>
          <w:sz w:val="24"/>
          <w:szCs w:val="24"/>
          <w:lang w:val="zh-CN" w:eastAsia="zh-CN" w:bidi="ar-SA"/>
        </w:rPr>
        <w:t>建设一套集大型会议、学术交流</w:t>
      </w:r>
      <w:r>
        <w:rPr>
          <w:rStyle w:val="140"/>
          <w:rFonts w:hint="eastAsia" w:ascii="宋体" w:hAnsi="宋体" w:eastAsia="宋体" w:cs="宋体"/>
          <w:b w:val="0"/>
          <w:i w:val="0"/>
          <w:caps w:val="0"/>
          <w:color w:val="auto"/>
          <w:spacing w:val="0"/>
          <w:w w:val="100"/>
          <w:kern w:val="2"/>
          <w:sz w:val="24"/>
          <w:szCs w:val="24"/>
          <w:lang w:val="en-US" w:eastAsia="zh-CN" w:bidi="ar-SA"/>
        </w:rPr>
        <w:t>等功能</w:t>
      </w:r>
      <w:r>
        <w:rPr>
          <w:rStyle w:val="140"/>
          <w:rFonts w:hint="eastAsia" w:ascii="宋体" w:hAnsi="宋体" w:eastAsia="宋体" w:cs="宋体"/>
          <w:b w:val="0"/>
          <w:i w:val="0"/>
          <w:caps w:val="0"/>
          <w:color w:val="auto"/>
          <w:spacing w:val="0"/>
          <w:w w:val="100"/>
          <w:kern w:val="2"/>
          <w:sz w:val="24"/>
          <w:szCs w:val="24"/>
          <w:lang w:val="zh-CN" w:eastAsia="zh-CN" w:bidi="ar-SA"/>
        </w:rPr>
        <w:t>为一体的</w:t>
      </w:r>
      <w:r>
        <w:rPr>
          <w:rStyle w:val="140"/>
          <w:rFonts w:hint="eastAsia" w:ascii="宋体" w:hAnsi="宋体" w:eastAsia="宋体" w:cs="宋体"/>
          <w:b w:val="0"/>
          <w:i w:val="0"/>
          <w:caps w:val="0"/>
          <w:color w:val="auto"/>
          <w:spacing w:val="0"/>
          <w:w w:val="100"/>
          <w:kern w:val="2"/>
          <w:sz w:val="24"/>
          <w:szCs w:val="24"/>
          <w:lang w:val="en-US" w:eastAsia="zh-CN" w:bidi="ar-SA"/>
        </w:rPr>
        <w:t>会议室</w:t>
      </w:r>
      <w:r>
        <w:rPr>
          <w:rStyle w:val="140"/>
          <w:rFonts w:hint="eastAsia" w:ascii="宋体" w:hAnsi="宋体" w:eastAsia="宋体" w:cs="宋体"/>
          <w:b w:val="0"/>
          <w:i w:val="0"/>
          <w:caps w:val="0"/>
          <w:color w:val="auto"/>
          <w:spacing w:val="0"/>
          <w:w w:val="100"/>
          <w:kern w:val="2"/>
          <w:sz w:val="24"/>
          <w:szCs w:val="24"/>
          <w:lang w:val="zh-CN" w:eastAsia="zh-CN" w:bidi="ar-SA"/>
        </w:rPr>
        <w:t>，确保</w:t>
      </w:r>
      <w:r>
        <w:rPr>
          <w:rStyle w:val="140"/>
          <w:rFonts w:hint="eastAsia" w:ascii="宋体" w:hAnsi="宋体" w:eastAsia="宋体" w:cs="宋体"/>
          <w:b w:val="0"/>
          <w:i w:val="0"/>
          <w:caps w:val="0"/>
          <w:color w:val="auto"/>
          <w:spacing w:val="0"/>
          <w:w w:val="100"/>
          <w:kern w:val="2"/>
          <w:sz w:val="24"/>
          <w:szCs w:val="24"/>
          <w:lang w:val="en-US" w:eastAsia="zh-CN" w:bidi="ar-SA"/>
        </w:rPr>
        <w:t>会议室</w:t>
      </w:r>
      <w:r>
        <w:rPr>
          <w:rStyle w:val="140"/>
          <w:rFonts w:hint="eastAsia" w:ascii="宋体" w:hAnsi="宋体" w:eastAsia="宋体" w:cs="宋体"/>
          <w:b w:val="0"/>
          <w:i w:val="0"/>
          <w:caps w:val="0"/>
          <w:color w:val="auto"/>
          <w:spacing w:val="0"/>
          <w:w w:val="100"/>
          <w:kern w:val="2"/>
          <w:sz w:val="24"/>
          <w:szCs w:val="24"/>
          <w:lang w:val="zh-CN" w:eastAsia="zh-CN" w:bidi="ar-SA"/>
        </w:rPr>
        <w:t>设计理念先进、系统稳定、功能完善、指挥高效。</w:t>
      </w:r>
    </w:p>
    <w:p>
      <w:pPr>
        <w:pStyle w:val="142"/>
        <w:keepLines/>
        <w:pageBreakBefore w:val="0"/>
        <w:widowControl/>
        <w:numPr>
          <w:ilvl w:val="0"/>
          <w:numId w:val="0"/>
        </w:numPr>
        <w:tabs>
          <w:tab w:val="left" w:pos="432"/>
        </w:tabs>
        <w:kinsoku/>
        <w:wordWrap/>
        <w:overflowPunct/>
        <w:topLinePunct w:val="0"/>
        <w:autoSpaceDE/>
        <w:autoSpaceDN/>
        <w:bidi w:val="0"/>
        <w:adjustRightInd/>
        <w:snapToGrid/>
        <w:spacing w:before="260" w:beforeAutospacing="0" w:after="260" w:afterAutospacing="0" w:line="540" w:lineRule="exact"/>
        <w:jc w:val="both"/>
        <w:textAlignment w:val="baseline"/>
        <w:outlineLvl w:val="0"/>
        <w:rPr>
          <w:rStyle w:val="140"/>
          <w:rFonts w:hint="eastAsia" w:ascii="宋体" w:hAnsi="宋体" w:eastAsia="宋体" w:cs="宋体"/>
          <w:b/>
          <w:bCs/>
          <w:i w:val="0"/>
          <w:caps w:val="0"/>
          <w:spacing w:val="0"/>
          <w:w w:val="100"/>
          <w:kern w:val="44"/>
          <w:sz w:val="24"/>
          <w:szCs w:val="24"/>
          <w:lang w:val="en-US" w:eastAsia="zh-CN" w:bidi="ar-SA"/>
        </w:rPr>
      </w:pPr>
      <w:bookmarkStart w:id="70" w:name="_Toc11751"/>
      <w:r>
        <w:rPr>
          <w:rStyle w:val="140"/>
          <w:rFonts w:hint="eastAsia" w:ascii="宋体" w:hAnsi="宋体" w:eastAsia="宋体" w:cs="宋体"/>
          <w:b/>
          <w:bCs/>
          <w:i w:val="0"/>
          <w:caps w:val="0"/>
          <w:spacing w:val="0"/>
          <w:w w:val="100"/>
          <w:kern w:val="44"/>
          <w:sz w:val="24"/>
          <w:szCs w:val="24"/>
          <w:lang w:val="en-US" w:eastAsia="zh-CN" w:bidi="ar-SA"/>
        </w:rPr>
        <w:t>3</w:t>
      </w:r>
      <w:r>
        <w:rPr>
          <w:rStyle w:val="140"/>
          <w:rFonts w:hint="eastAsia" w:ascii="宋体" w:hAnsi="宋体" w:eastAsia="宋体" w:cs="宋体"/>
          <w:b w:val="0"/>
          <w:bCs w:val="0"/>
          <w:i w:val="0"/>
          <w:caps w:val="0"/>
          <w:spacing w:val="0"/>
          <w:w w:val="100"/>
          <w:kern w:val="44"/>
          <w:sz w:val="24"/>
          <w:szCs w:val="24"/>
          <w:lang w:val="en-US" w:eastAsia="zh-CN" w:bidi="ar-SA"/>
        </w:rPr>
        <w:t xml:space="preserve">. </w:t>
      </w:r>
      <w:r>
        <w:rPr>
          <w:rStyle w:val="140"/>
          <w:rFonts w:hint="eastAsia" w:ascii="宋体" w:hAnsi="宋体" w:eastAsia="宋体" w:cs="宋体"/>
          <w:b/>
          <w:bCs/>
          <w:i w:val="0"/>
          <w:caps w:val="0"/>
          <w:spacing w:val="0"/>
          <w:w w:val="100"/>
          <w:kern w:val="44"/>
          <w:sz w:val="24"/>
          <w:szCs w:val="24"/>
          <w:lang w:val="en-US" w:eastAsia="zh-CN" w:bidi="ar-SA"/>
        </w:rPr>
        <w:t>总体建设方案</w:t>
      </w:r>
      <w:bookmarkEnd w:id="70"/>
    </w:p>
    <w:p>
      <w:pPr>
        <w:pStyle w:val="141"/>
        <w:keepLines/>
        <w:pageBreakBefore w:val="0"/>
        <w:widowControl/>
        <w:numPr>
          <w:ilvl w:val="0"/>
          <w:numId w:val="0"/>
        </w:numPr>
        <w:kinsoku/>
        <w:wordWrap/>
        <w:overflowPunct/>
        <w:topLinePunct w:val="0"/>
        <w:autoSpaceDE/>
        <w:autoSpaceDN/>
        <w:bidi w:val="0"/>
        <w:adjustRightInd/>
        <w:snapToGrid/>
        <w:spacing w:before="312" w:beforeAutospacing="0" w:after="156" w:afterAutospacing="0" w:line="540" w:lineRule="exact"/>
        <w:jc w:val="both"/>
        <w:textAlignment w:val="baseline"/>
        <w:outlineLvl w:val="1"/>
        <w:rPr>
          <w:rStyle w:val="140"/>
          <w:rFonts w:hint="eastAsia" w:ascii="宋体" w:hAnsi="宋体" w:eastAsia="宋体" w:cs="宋体"/>
          <w:b/>
          <w:bCs/>
          <w:i w:val="0"/>
          <w:caps w:val="0"/>
          <w:spacing w:val="0"/>
          <w:w w:val="100"/>
          <w:kern w:val="2"/>
          <w:sz w:val="24"/>
          <w:szCs w:val="24"/>
          <w:lang w:val="en-US" w:eastAsia="zh-CN" w:bidi="ar-SA"/>
        </w:rPr>
      </w:pPr>
      <w:bookmarkStart w:id="71" w:name="_Toc943"/>
      <w:r>
        <w:rPr>
          <w:rStyle w:val="140"/>
          <w:rFonts w:hint="eastAsia" w:ascii="宋体" w:hAnsi="宋体" w:eastAsia="宋体" w:cs="宋体"/>
          <w:b/>
          <w:bCs/>
          <w:i w:val="0"/>
          <w:caps w:val="0"/>
          <w:spacing w:val="0"/>
          <w:w w:val="100"/>
          <w:kern w:val="2"/>
          <w:sz w:val="24"/>
          <w:szCs w:val="24"/>
          <w:lang w:val="en-US" w:eastAsia="zh-CN" w:bidi="ar-SA"/>
        </w:rPr>
        <w:t>3.1整体设计方案要求</w:t>
      </w:r>
      <w:bookmarkEnd w:id="71"/>
    </w:p>
    <w:p>
      <w:pPr>
        <w:pageBreakBefore w:val="0"/>
        <w:widowControl/>
        <w:kinsoku/>
        <w:wordWrap/>
        <w:overflowPunct/>
        <w:topLinePunct w:val="0"/>
        <w:autoSpaceDE/>
        <w:autoSpaceDN/>
        <w:bidi w:val="0"/>
        <w:adjustRightInd/>
        <w:snapToGrid/>
        <w:spacing w:before="0" w:beforeAutospacing="0" w:after="0" w:afterAutospacing="0" w:line="540" w:lineRule="exact"/>
        <w:jc w:val="both"/>
        <w:textAlignment w:val="baseline"/>
        <w:rPr>
          <w:rStyle w:val="140"/>
          <w:rFonts w:hint="eastAsia" w:ascii="宋体" w:hAnsi="宋体" w:eastAsia="宋体" w:cs="宋体"/>
          <w:b/>
          <w:i w:val="0"/>
          <w:caps w:val="0"/>
          <w:spacing w:val="0"/>
          <w:w w:val="100"/>
          <w:kern w:val="2"/>
          <w:sz w:val="24"/>
          <w:szCs w:val="24"/>
          <w:lang w:val="en-US" w:eastAsia="zh-CN" w:bidi="ar-SA"/>
        </w:rPr>
      </w:pPr>
      <w:r>
        <w:rPr>
          <w:rStyle w:val="140"/>
          <w:rFonts w:hint="eastAsia" w:ascii="宋体" w:hAnsi="宋体" w:eastAsia="宋体" w:cs="宋体"/>
          <w:b/>
          <w:i w:val="0"/>
          <w:caps w:val="0"/>
          <w:spacing w:val="0"/>
          <w:w w:val="100"/>
          <w:kern w:val="2"/>
          <w:sz w:val="24"/>
          <w:szCs w:val="24"/>
          <w:lang w:val="en-US" w:eastAsia="zh-CN" w:bidi="ar-SA"/>
        </w:rPr>
        <w:t>3.1.1设计原则</w:t>
      </w:r>
    </w:p>
    <w:p>
      <w:pPr>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both"/>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本次升级的会议系统设计采用符合工业标准的软、硬件技术、接口标准规范和开放的系统结构，易于扩展，实现对集成的各子系统之间信息交换，系统的设计将遵循先进性、可靠性、友好性、安全性、可维护性、可扩展性的原则。在使用新技术的同时充分考虑技术的国际标准化，严格按照国际国内相关标准设计实施。应用系统的实施应遵循工程化规范，设计开发与维护各个阶段划分明确。综合考虑后期维护及操作等因素，并为今后的发展、扩建、改造等留有扩充的余地。</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1、先进性</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lang w:val="en-US" w:eastAsia="zh-CN"/>
        </w:rPr>
      </w:pPr>
      <w:r>
        <w:rPr>
          <w:rStyle w:val="140"/>
          <w:rFonts w:hint="eastAsia" w:ascii="宋体" w:hAnsi="宋体" w:eastAsia="宋体" w:cs="宋体"/>
          <w:b w:val="0"/>
          <w:i w:val="0"/>
          <w:caps w:val="0"/>
          <w:spacing w:val="0"/>
          <w:w w:val="100"/>
          <w:kern w:val="2"/>
          <w:sz w:val="24"/>
          <w:szCs w:val="24"/>
          <w:lang w:val="en-US" w:eastAsia="zh-CN" w:bidi="ar-SA"/>
        </w:rPr>
        <w:t>系统采用国际、国内通行的先进技术，适应时代发展的需要。</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bookmarkStart w:id="72" w:name="_Toc62224580"/>
      <w:r>
        <w:rPr>
          <w:rStyle w:val="140"/>
          <w:rFonts w:hint="eastAsia" w:ascii="宋体" w:hAnsi="宋体" w:eastAsia="宋体" w:cs="宋体"/>
          <w:b w:val="0"/>
          <w:i w:val="0"/>
          <w:caps w:val="0"/>
          <w:spacing w:val="0"/>
          <w:w w:val="100"/>
          <w:kern w:val="2"/>
          <w:sz w:val="24"/>
          <w:szCs w:val="24"/>
          <w:lang w:val="en-US" w:eastAsia="zh-CN" w:bidi="ar-SA"/>
        </w:rPr>
        <w:t>2、可靠性</w:t>
      </w:r>
      <w:bookmarkEnd w:id="72"/>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系统中涉及的各类应用应采用先进成熟并经过工程实践检验的技术，系统的技术性能和质量指标应达到国际领先水平。同时，系统的安装调试、操作使用又应简便易行，容易掌握。</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bookmarkStart w:id="73" w:name="_Toc62224581"/>
      <w:r>
        <w:rPr>
          <w:rStyle w:val="140"/>
          <w:rFonts w:hint="eastAsia" w:ascii="宋体" w:hAnsi="宋体" w:eastAsia="宋体" w:cs="宋体"/>
          <w:b w:val="0"/>
          <w:i w:val="0"/>
          <w:caps w:val="0"/>
          <w:spacing w:val="0"/>
          <w:w w:val="100"/>
          <w:kern w:val="2"/>
          <w:sz w:val="24"/>
          <w:szCs w:val="24"/>
          <w:lang w:val="en-US" w:eastAsia="zh-CN" w:bidi="ar-SA"/>
        </w:rPr>
        <w:t>3、友好性</w:t>
      </w:r>
      <w:bookmarkEnd w:id="73"/>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界面美观简洁、风格一致，操作简易、易懂易上手。功能要更切合实际，重在应用，坚持以需求为主导，落脚于满足需求，从实际需求出发，深入开展业务调研，保证系统顺畅使用，易于维护。</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bookmarkStart w:id="74" w:name="_Toc62224582"/>
      <w:r>
        <w:rPr>
          <w:rStyle w:val="140"/>
          <w:rFonts w:hint="eastAsia" w:ascii="宋体" w:hAnsi="宋体" w:eastAsia="宋体" w:cs="宋体"/>
          <w:b w:val="0"/>
          <w:i w:val="0"/>
          <w:caps w:val="0"/>
          <w:spacing w:val="0"/>
          <w:w w:val="100"/>
          <w:kern w:val="2"/>
          <w:sz w:val="24"/>
          <w:szCs w:val="24"/>
          <w:lang w:val="en-US" w:eastAsia="zh-CN" w:bidi="ar-SA"/>
        </w:rPr>
        <w:t>4、安全性</w:t>
      </w:r>
      <w:bookmarkEnd w:id="74"/>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采用多级用户权限管理，权限控制、数据加密、数据备份、记录日志。遵循有关信息安全标准，提供多方式、多层次、多渠道的安全保密措施，防止各种形式与途径的非法侵入和机密信息的泄露，保证系统中数据的安全，确保业务系统能安全运行。</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bookmarkStart w:id="75" w:name="_Toc62224583"/>
      <w:r>
        <w:rPr>
          <w:rStyle w:val="140"/>
          <w:rFonts w:hint="eastAsia" w:ascii="宋体" w:hAnsi="宋体" w:eastAsia="宋体" w:cs="宋体"/>
          <w:b w:val="0"/>
          <w:i w:val="0"/>
          <w:caps w:val="0"/>
          <w:spacing w:val="0"/>
          <w:w w:val="100"/>
          <w:kern w:val="2"/>
          <w:sz w:val="24"/>
          <w:szCs w:val="24"/>
          <w:lang w:val="en-US" w:eastAsia="zh-CN" w:bidi="ar-SA"/>
        </w:rPr>
        <w:t>5、可维护性</w:t>
      </w:r>
      <w:bookmarkEnd w:id="75"/>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分级处理机制，提供快速二次开发、部署机制。严格按照软件工程规范进行，做到信息内容统一、数据结构统一、编码规则统一、处理方式统一、界面风格统一、操作方法统一，以便日后的系统维护。</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bookmarkStart w:id="76" w:name="_Toc62224584"/>
      <w:r>
        <w:rPr>
          <w:rStyle w:val="140"/>
          <w:rFonts w:hint="eastAsia" w:ascii="宋体" w:hAnsi="宋体" w:eastAsia="宋体" w:cs="宋体"/>
          <w:b w:val="0"/>
          <w:i w:val="0"/>
          <w:caps w:val="0"/>
          <w:spacing w:val="0"/>
          <w:w w:val="100"/>
          <w:kern w:val="2"/>
          <w:sz w:val="24"/>
          <w:szCs w:val="24"/>
          <w:lang w:val="en-US" w:eastAsia="zh-CN" w:bidi="ar-SA"/>
        </w:rPr>
        <w:t>6、可扩展性</w:t>
      </w:r>
      <w:bookmarkEnd w:id="76"/>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数据结构设计合理、稳定、灵活，满足实施规模的延伸。系统要有良好的扩展性和升级前景，充分考虑其扩展性能，包括系统总体框架的确定，系统功能的设计，数据格式的定义和系统间的数据接口，能为将来的发展提供扩展能力。</w:t>
      </w:r>
    </w:p>
    <w:p>
      <w:pPr>
        <w:pStyle w:val="141"/>
        <w:keepLines/>
        <w:pageBreakBefore w:val="0"/>
        <w:widowControl/>
        <w:numPr>
          <w:ilvl w:val="0"/>
          <w:numId w:val="0"/>
        </w:numPr>
        <w:kinsoku/>
        <w:wordWrap/>
        <w:overflowPunct/>
        <w:topLinePunct w:val="0"/>
        <w:autoSpaceDE/>
        <w:autoSpaceDN/>
        <w:bidi w:val="0"/>
        <w:adjustRightInd/>
        <w:snapToGrid/>
        <w:spacing w:before="260" w:beforeAutospacing="0" w:after="260" w:afterAutospacing="0" w:line="540" w:lineRule="exact"/>
        <w:ind w:left="514" w:hanging="514"/>
        <w:jc w:val="both"/>
        <w:textAlignment w:val="baseline"/>
        <w:outlineLvl w:val="1"/>
        <w:rPr>
          <w:rStyle w:val="140"/>
          <w:rFonts w:hint="eastAsia" w:ascii="宋体" w:hAnsi="宋体" w:eastAsia="宋体" w:cs="宋体"/>
          <w:b/>
          <w:bCs/>
          <w:i w:val="0"/>
          <w:caps w:val="0"/>
          <w:spacing w:val="0"/>
          <w:w w:val="100"/>
          <w:kern w:val="2"/>
          <w:sz w:val="24"/>
          <w:szCs w:val="24"/>
          <w:lang w:val="en-US" w:eastAsia="zh-CN" w:bidi="ar-SA"/>
        </w:rPr>
      </w:pPr>
      <w:bookmarkStart w:id="77" w:name="_Toc7518"/>
      <w:r>
        <w:rPr>
          <w:rStyle w:val="140"/>
          <w:rFonts w:hint="eastAsia" w:ascii="宋体" w:hAnsi="宋体" w:eastAsia="宋体" w:cs="宋体"/>
          <w:b/>
          <w:bCs/>
          <w:i w:val="0"/>
          <w:caps w:val="0"/>
          <w:spacing w:val="0"/>
          <w:w w:val="100"/>
          <w:kern w:val="2"/>
          <w:sz w:val="24"/>
          <w:szCs w:val="24"/>
          <w:lang w:val="en-US" w:eastAsia="zh-CN" w:bidi="ar-SA"/>
        </w:rPr>
        <w:t>3.2本期建设总体目标</w:t>
      </w:r>
      <w:bookmarkEnd w:id="77"/>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该项目整体设计，实现以下目标：</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保证音频扩音系统、视频切换系统易操作、功能灵活，满足会议的不同功能要求；</w:t>
      </w:r>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满足召开日常会议、视频会议、多功能会议等要求；</w:t>
      </w:r>
    </w:p>
    <w:p>
      <w:pPr>
        <w:pStyle w:val="141"/>
        <w:keepLines/>
        <w:pageBreakBefore w:val="0"/>
        <w:widowControl/>
        <w:numPr>
          <w:ilvl w:val="0"/>
          <w:numId w:val="0"/>
        </w:numPr>
        <w:kinsoku/>
        <w:wordWrap/>
        <w:overflowPunct/>
        <w:topLinePunct w:val="0"/>
        <w:autoSpaceDE/>
        <w:autoSpaceDN/>
        <w:bidi w:val="0"/>
        <w:adjustRightInd/>
        <w:snapToGrid/>
        <w:spacing w:before="260" w:beforeAutospacing="0" w:after="260" w:afterAutospacing="0" w:line="540" w:lineRule="exact"/>
        <w:ind w:left="514" w:hanging="514"/>
        <w:jc w:val="both"/>
        <w:textAlignment w:val="baseline"/>
        <w:outlineLvl w:val="1"/>
        <w:rPr>
          <w:rStyle w:val="140"/>
          <w:rFonts w:hint="eastAsia" w:ascii="宋体" w:hAnsi="宋体" w:eastAsia="宋体" w:cs="宋体"/>
          <w:b/>
          <w:bCs/>
          <w:i w:val="0"/>
          <w:caps w:val="0"/>
          <w:spacing w:val="0"/>
          <w:w w:val="100"/>
          <w:kern w:val="2"/>
          <w:sz w:val="24"/>
          <w:szCs w:val="24"/>
          <w:lang w:val="en-US" w:eastAsia="zh-CN" w:bidi="ar-SA"/>
        </w:rPr>
      </w:pPr>
      <w:bookmarkStart w:id="78" w:name="_Toc25384"/>
      <w:r>
        <w:rPr>
          <w:rStyle w:val="140"/>
          <w:rFonts w:hint="eastAsia" w:ascii="宋体" w:hAnsi="宋体" w:eastAsia="宋体" w:cs="宋体"/>
          <w:b/>
          <w:bCs/>
          <w:i w:val="0"/>
          <w:caps w:val="0"/>
          <w:spacing w:val="0"/>
          <w:w w:val="100"/>
          <w:kern w:val="2"/>
          <w:sz w:val="24"/>
          <w:szCs w:val="24"/>
          <w:lang w:val="en-US" w:eastAsia="zh-CN" w:bidi="ar-SA"/>
        </w:rPr>
        <w:t>3.3本期建设内容</w:t>
      </w:r>
      <w:bookmarkEnd w:id="78"/>
    </w:p>
    <w:p>
      <w:pPr>
        <w:pageBreakBefore w:val="0"/>
        <w:widowControl/>
        <w:kinsoku/>
        <w:wordWrap/>
        <w:overflowPunct/>
        <w:topLinePunct w:val="0"/>
        <w:autoSpaceDE/>
        <w:autoSpaceDN/>
        <w:bidi w:val="0"/>
        <w:adjustRightInd/>
        <w:snapToGrid/>
        <w:spacing w:before="0" w:beforeAutospacing="0" w:after="0" w:afterAutospacing="0" w:line="540" w:lineRule="exact"/>
        <w:jc w:val="both"/>
        <w:textAlignment w:val="baseline"/>
        <w:outlineLvl w:val="2"/>
        <w:rPr>
          <w:rStyle w:val="140"/>
          <w:rFonts w:hint="eastAsia" w:ascii="宋体" w:hAnsi="宋体" w:eastAsia="宋体" w:cs="宋体"/>
          <w:b/>
          <w:i w:val="0"/>
          <w:caps w:val="0"/>
          <w:spacing w:val="0"/>
          <w:w w:val="100"/>
          <w:kern w:val="2"/>
          <w:sz w:val="24"/>
          <w:szCs w:val="24"/>
          <w:lang w:val="en-US" w:eastAsia="zh-CN" w:bidi="ar-SA"/>
        </w:rPr>
      </w:pPr>
      <w:bookmarkStart w:id="79" w:name="_Toc28022"/>
      <w:r>
        <w:rPr>
          <w:rStyle w:val="140"/>
          <w:rFonts w:hint="eastAsia" w:ascii="宋体" w:hAnsi="宋体" w:eastAsia="宋体" w:cs="宋体"/>
          <w:b/>
          <w:i w:val="0"/>
          <w:caps w:val="0"/>
          <w:spacing w:val="0"/>
          <w:w w:val="100"/>
          <w:kern w:val="2"/>
          <w:sz w:val="24"/>
          <w:szCs w:val="24"/>
          <w:lang w:val="en-US" w:eastAsia="zh-CN" w:bidi="ar-SA"/>
        </w:rPr>
        <w:t>3.3.1 显示系统</w:t>
      </w:r>
      <w:bookmarkEnd w:id="79"/>
    </w:p>
    <w:p>
      <w:pPr>
        <w:pStyle w:val="8"/>
        <w:pageBreakBefore w:val="0"/>
        <w:widowControl/>
        <w:numPr>
          <w:ilvl w:val="3"/>
          <w:numId w:val="7"/>
        </w:numPr>
        <w:kinsoku/>
        <w:wordWrap/>
        <w:overflowPunct/>
        <w:topLinePunct w:val="0"/>
        <w:autoSpaceDE/>
        <w:autoSpaceDN/>
        <w:bidi w:val="0"/>
        <w:adjustRightInd/>
        <w:snapToGrid/>
        <w:spacing w:line="540" w:lineRule="exact"/>
        <w:ind w:left="850" w:leftChars="0" w:hanging="850" w:firstLineChars="0"/>
        <w:textAlignment w:val="baseline"/>
        <w:outlineLvl w:val="3"/>
        <w:rPr>
          <w:rStyle w:val="140"/>
          <w:rFonts w:hint="eastAsia" w:ascii="宋体" w:hAnsi="宋体" w:eastAsia="宋体" w:cs="宋体"/>
          <w:b/>
          <w:i w:val="0"/>
          <w:caps w:val="0"/>
          <w:spacing w:val="0"/>
          <w:w w:val="100"/>
          <w:kern w:val="2"/>
          <w:sz w:val="24"/>
          <w:szCs w:val="24"/>
          <w:lang w:val="en-US" w:eastAsia="zh-CN" w:bidi="ar-SA"/>
        </w:rPr>
      </w:pPr>
      <w:bookmarkStart w:id="80" w:name="_Toc29332"/>
      <w:bookmarkStart w:id="81" w:name="_Toc32683"/>
      <w:r>
        <w:rPr>
          <w:rStyle w:val="140"/>
          <w:rFonts w:hint="eastAsia" w:ascii="宋体" w:hAnsi="宋体" w:eastAsia="宋体" w:cs="宋体"/>
          <w:b/>
          <w:i w:val="0"/>
          <w:caps w:val="0"/>
          <w:spacing w:val="0"/>
          <w:w w:val="100"/>
          <w:kern w:val="2"/>
          <w:sz w:val="24"/>
          <w:szCs w:val="24"/>
          <w:lang w:val="en-US" w:eastAsia="zh-CN" w:bidi="ar-SA"/>
        </w:rPr>
        <w:t>设计原理</w:t>
      </w:r>
      <w:bookmarkEnd w:id="80"/>
    </w:p>
    <w:p>
      <w:pPr>
        <w:pStyle w:val="2"/>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大屏幕最佳观察视角设计是从人体工程学原理出发，对大屏幕系统的底座高度、水平视角、垂直视角进行人体工程学设计，以获得最佳的观看视角，视觉体验。</w:t>
      </w:r>
    </w:p>
    <w:p>
      <w:pPr>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171950" cy="2781300"/>
            <wp:effectExtent l="0" t="7620" r="0" b="11430"/>
            <wp:docPr id="2" name="图示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pStyle w:val="2"/>
        <w:spacing w:line="560" w:lineRule="exact"/>
        <w:ind w:firstLine="480" w:firstLineChars="200"/>
        <w:jc w:val="center"/>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不合适的设计造成的影响</w:t>
      </w:r>
    </w:p>
    <w:p>
      <w:pPr>
        <w:spacing w:line="360" w:lineRule="auto"/>
        <w:ind w:firstLine="480" w:firstLineChars="200"/>
        <w:rPr>
          <w:rFonts w:hint="eastAsia" w:ascii="宋体" w:hAnsi="宋体" w:eastAsia="宋体" w:cs="宋体"/>
          <w:sz w:val="24"/>
          <w:szCs w:val="24"/>
        </w:rPr>
      </w:pPr>
      <w:r>
        <w:rPr>
          <w:rStyle w:val="140"/>
          <w:rFonts w:hint="eastAsia" w:ascii="宋体" w:hAnsi="宋体" w:eastAsia="宋体" w:cs="宋体"/>
          <w:b w:val="0"/>
          <w:i w:val="0"/>
          <w:caps w:val="0"/>
          <w:spacing w:val="0"/>
          <w:w w:val="100"/>
          <w:kern w:val="2"/>
          <w:sz w:val="24"/>
          <w:szCs w:val="24"/>
          <w:lang w:val="en-US" w:eastAsia="zh-CN" w:bidi="ar-SA"/>
        </w:rPr>
        <w:t>大屏系统遵循以上原则，所计算出的大屏底座高度及操作台与屏幕的距离，符合人体工程学设计，让客户有最舒适的观看角度、最佳的观看效果。</w:t>
      </w:r>
      <w:bookmarkEnd w:id="81"/>
    </w:p>
    <w:p>
      <w:pPr>
        <w:pStyle w:val="8"/>
        <w:numPr>
          <w:ilvl w:val="3"/>
          <w:numId w:val="7"/>
        </w:numPr>
        <w:ind w:left="850" w:leftChars="0" w:hanging="850" w:firstLineChars="0"/>
        <w:outlineLvl w:val="3"/>
        <w:rPr>
          <w:rStyle w:val="140"/>
          <w:rFonts w:hint="eastAsia" w:ascii="宋体" w:hAnsi="宋体" w:eastAsia="宋体" w:cs="宋体"/>
          <w:b/>
          <w:i w:val="0"/>
          <w:caps w:val="0"/>
          <w:spacing w:val="0"/>
          <w:w w:val="100"/>
          <w:kern w:val="2"/>
          <w:sz w:val="24"/>
          <w:szCs w:val="24"/>
          <w:lang w:val="en-US" w:eastAsia="zh-CN" w:bidi="ar-SA"/>
        </w:rPr>
      </w:pPr>
      <w:r>
        <w:rPr>
          <w:rStyle w:val="140"/>
          <w:rFonts w:hint="eastAsia" w:ascii="宋体" w:hAnsi="宋体" w:eastAsia="宋体" w:cs="宋体"/>
          <w:b/>
          <w:i w:val="0"/>
          <w:caps w:val="0"/>
          <w:spacing w:val="0"/>
          <w:w w:val="100"/>
          <w:kern w:val="2"/>
          <w:sz w:val="24"/>
          <w:szCs w:val="24"/>
          <w:lang w:val="en-US" w:eastAsia="zh-CN" w:bidi="ar-SA"/>
        </w:rPr>
        <w:t>图像系统</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Style w:val="140"/>
          <w:rFonts w:hint="eastAsia" w:ascii="宋体" w:hAnsi="宋体" w:eastAsia="宋体" w:cs="宋体"/>
          <w:b w:val="0"/>
          <w:i w:val="0"/>
          <w:caps w:val="0"/>
          <w:spacing w:val="0"/>
          <w:w w:val="100"/>
          <w:kern w:val="2"/>
          <w:sz w:val="24"/>
          <w:szCs w:val="24"/>
          <w:lang w:val="en-US" w:eastAsia="zh-CN" w:bidi="ar-SA"/>
        </w:rPr>
        <w:t>本项目采用企业级激光投影仪为投影设备，采用150寸 16:9高清玻珠为显示幕布。</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1、投影技术；DMD芯片尺寸≥0.65英寸，6色段色轮技术；</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2、亮度≥5500流明；</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3、对比度≥2000000:1；</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4、标准分辨率≥1080P（1920*1080）；宽屏自适应支持所有显示分辨率（具备4K HDR接口）；</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5、兼容网络中控，可实现远程对投影机开关机，信号源，设备诊断，设置电子邮件报警功能等控制；</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6、激光光源，寿命≥30000小时；</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7、重量≥6Kg</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8、支持蓝光DLP 3D技术，并支持人像模式；</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9、内置20W扬声器；</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10、支持镜头垂直位移，水平、四角梯形校正，360度安装，1.6倍变焦，</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11、选配无线模块可支持无线传输蓝光3D；</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12、支持±30°垂直梯形校正</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13、接口：Analog RGBx 2；Composite Video (RCA) x 1；HDMI/MHL；</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14.采用动态黑位技术画面；</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15、LumiSense 自动感应技术，满足各种光线效果；</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16、具有蓝光盾技术，保护眼睛；</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17、运用动态RGB增益提升色彩显示效果。</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18、内置重力感应装置，自动侦测并将图像翻转180度。</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19、即插即拔，即时关机。</w:t>
      </w:r>
    </w:p>
    <w:p>
      <w:pPr>
        <w:pStyle w:val="8"/>
        <w:keepNext/>
        <w:keepLines/>
        <w:pageBreakBefore w:val="0"/>
        <w:widowControl/>
        <w:numPr>
          <w:ilvl w:val="3"/>
          <w:numId w:val="7"/>
        </w:numPr>
        <w:kinsoku/>
        <w:wordWrap/>
        <w:overflowPunct/>
        <w:topLinePunct w:val="0"/>
        <w:autoSpaceDE/>
        <w:autoSpaceDN/>
        <w:bidi w:val="0"/>
        <w:adjustRightInd/>
        <w:snapToGrid/>
        <w:spacing w:before="200" w:after="200" w:line="540" w:lineRule="exact"/>
        <w:ind w:left="850" w:leftChars="0" w:hanging="850" w:firstLineChars="0"/>
        <w:textAlignment w:val="baseline"/>
        <w:outlineLvl w:val="3"/>
        <w:rPr>
          <w:rStyle w:val="140"/>
          <w:rFonts w:hint="eastAsia" w:ascii="宋体" w:hAnsi="宋体" w:eastAsia="宋体" w:cs="宋体"/>
          <w:b/>
          <w:i w:val="0"/>
          <w:caps w:val="0"/>
          <w:spacing w:val="0"/>
          <w:w w:val="100"/>
          <w:kern w:val="2"/>
          <w:sz w:val="24"/>
          <w:szCs w:val="24"/>
          <w:lang w:val="en-US" w:eastAsia="zh-CN" w:bidi="ar-SA"/>
        </w:rPr>
      </w:pPr>
      <w:r>
        <w:rPr>
          <w:rStyle w:val="140"/>
          <w:rFonts w:hint="eastAsia" w:ascii="宋体" w:hAnsi="宋体" w:eastAsia="宋体" w:cs="宋体"/>
          <w:b/>
          <w:i w:val="0"/>
          <w:caps w:val="0"/>
          <w:spacing w:val="0"/>
          <w:w w:val="100"/>
          <w:kern w:val="2"/>
          <w:sz w:val="24"/>
          <w:szCs w:val="24"/>
          <w:lang w:val="en-US" w:eastAsia="zh-CN" w:bidi="ar-SA"/>
        </w:rPr>
        <w:t>会议电视机</w:t>
      </w:r>
    </w:p>
    <w:p>
      <w:pPr>
        <w:spacing w:line="360" w:lineRule="auto"/>
        <w:ind w:firstLine="480" w:firstLineChars="200"/>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根据项目的需求，在会议室的内部安装了4台电视机，其中两台用于观众席观看，两台用于领导席观看。</w:t>
      </w:r>
    </w:p>
    <w:p>
      <w:pPr>
        <w:spacing w:line="360" w:lineRule="auto"/>
        <w:ind w:firstLine="480" w:firstLineChars="200"/>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电视机尺寸为58寸全面屏智能电视。</w:t>
      </w:r>
    </w:p>
    <w:p>
      <w:pPr>
        <w:pageBreakBefore w:val="0"/>
        <w:widowControl/>
        <w:kinsoku/>
        <w:wordWrap/>
        <w:overflowPunct/>
        <w:topLinePunct w:val="0"/>
        <w:autoSpaceDE/>
        <w:autoSpaceDN/>
        <w:bidi w:val="0"/>
        <w:adjustRightInd/>
        <w:snapToGrid/>
        <w:spacing w:before="0" w:beforeAutospacing="0" w:after="0" w:afterAutospacing="0" w:line="540" w:lineRule="exact"/>
        <w:jc w:val="both"/>
        <w:textAlignment w:val="baseline"/>
        <w:outlineLvl w:val="2"/>
        <w:rPr>
          <w:rStyle w:val="140"/>
          <w:rFonts w:hint="eastAsia" w:ascii="宋体" w:hAnsi="宋体" w:eastAsia="宋体" w:cs="宋体"/>
          <w:b/>
          <w:i w:val="0"/>
          <w:caps w:val="0"/>
          <w:spacing w:val="0"/>
          <w:w w:val="100"/>
          <w:kern w:val="2"/>
          <w:sz w:val="24"/>
          <w:szCs w:val="24"/>
          <w:lang w:val="en-US" w:eastAsia="zh-CN" w:bidi="ar-SA"/>
        </w:rPr>
      </w:pPr>
      <w:bookmarkStart w:id="82" w:name="_Toc16125"/>
      <w:r>
        <w:rPr>
          <w:rStyle w:val="140"/>
          <w:rFonts w:hint="eastAsia" w:ascii="宋体" w:hAnsi="宋体" w:eastAsia="宋体" w:cs="宋体"/>
          <w:b/>
          <w:i w:val="0"/>
          <w:caps w:val="0"/>
          <w:spacing w:val="0"/>
          <w:w w:val="100"/>
          <w:kern w:val="2"/>
          <w:sz w:val="24"/>
          <w:szCs w:val="24"/>
          <w:lang w:val="en-US" w:eastAsia="zh-CN" w:bidi="ar-SA"/>
        </w:rPr>
        <w:t>3.3.2 矩阵中控系统</w:t>
      </w:r>
      <w:bookmarkEnd w:id="82"/>
    </w:p>
    <w:p>
      <w:pPr>
        <w:pStyle w:val="8"/>
        <w:pageBreakBefore w:val="0"/>
        <w:widowControl/>
        <w:numPr>
          <w:ilvl w:val="3"/>
          <w:numId w:val="8"/>
        </w:numPr>
        <w:kinsoku/>
        <w:wordWrap/>
        <w:overflowPunct/>
        <w:topLinePunct w:val="0"/>
        <w:autoSpaceDE/>
        <w:autoSpaceDN/>
        <w:bidi w:val="0"/>
        <w:adjustRightInd/>
        <w:snapToGrid/>
        <w:spacing w:line="540" w:lineRule="exact"/>
        <w:ind w:left="850" w:leftChars="0" w:hanging="850" w:firstLineChars="0"/>
        <w:textAlignment w:val="baseline"/>
        <w:outlineLvl w:val="3"/>
        <w:rPr>
          <w:rStyle w:val="140"/>
          <w:rFonts w:hint="eastAsia" w:ascii="宋体" w:hAnsi="宋体" w:eastAsia="宋体" w:cs="宋体"/>
          <w:b/>
          <w:i w:val="0"/>
          <w:caps w:val="0"/>
          <w:spacing w:val="0"/>
          <w:w w:val="100"/>
          <w:kern w:val="2"/>
          <w:sz w:val="24"/>
          <w:szCs w:val="24"/>
          <w:lang w:val="en-US" w:eastAsia="zh-CN" w:bidi="ar-SA"/>
        </w:rPr>
      </w:pPr>
      <w:bookmarkStart w:id="83" w:name="_Toc28728"/>
      <w:r>
        <w:rPr>
          <w:rStyle w:val="140"/>
          <w:rFonts w:hint="eastAsia" w:ascii="宋体" w:hAnsi="宋体" w:eastAsia="宋体" w:cs="宋体"/>
          <w:b/>
          <w:i w:val="0"/>
          <w:caps w:val="0"/>
          <w:spacing w:val="0"/>
          <w:w w:val="100"/>
          <w:kern w:val="2"/>
          <w:sz w:val="24"/>
          <w:szCs w:val="24"/>
          <w:lang w:val="en-US" w:eastAsia="zh-CN" w:bidi="ar-SA"/>
        </w:rPr>
        <w:t>系统概述</w:t>
      </w:r>
    </w:p>
    <w:bookmarkEnd w:id="83"/>
    <w:p>
      <w:pPr>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Style w:val="140"/>
          <w:rFonts w:hint="eastAsia" w:ascii="宋体" w:hAnsi="宋体" w:eastAsia="宋体" w:cs="宋体"/>
          <w:b w:val="0"/>
          <w:i w:val="0"/>
          <w:caps w:val="0"/>
          <w:spacing w:val="0"/>
          <w:w w:val="100"/>
          <w:kern w:val="2"/>
          <w:sz w:val="24"/>
          <w:szCs w:val="24"/>
          <w:lang w:val="en-US" w:eastAsia="zh-CN" w:bidi="ar-SA"/>
        </w:rPr>
        <w:t>中央集中控制系统做了智能化控制设计，集中了显示、音响、及视音频控制手段于一体，为使用者提供简单、直接的控制界面，令使用者能方便地掌握整个空间环境各设备的状态及功能。中控系统设计一套中控主机，一套音视频切换矩阵，满足对会场音视频进行实时切换调度，中控系统采用无线触摸屏进行操作，中控主机和无线触屏根据会议室时间使用情况，编辑运行控制程序，下载到中控主机和无线触摸屏进行控制运行，在无线触摸屏的控制线，达到音视频切换实时操控，解决繁琐操作。</w:t>
      </w:r>
    </w:p>
    <w:p>
      <w:pPr>
        <w:widowControl/>
        <w:spacing w:line="360" w:lineRule="auto"/>
        <w:ind w:firstLine="420"/>
        <w:rPr>
          <w:rFonts w:hint="eastAsia" w:ascii="宋体" w:hAnsi="宋体" w:eastAsia="宋体" w:cs="宋体"/>
          <w:color w:val="000000"/>
          <w:kern w:val="0"/>
          <w:sz w:val="24"/>
          <w:szCs w:val="24"/>
        </w:rPr>
      </w:pPr>
      <w:r>
        <w:rPr>
          <w:rFonts w:hint="eastAsia" w:ascii="宋体" w:hAnsi="宋体" w:eastAsia="宋体" w:cs="宋体"/>
          <w:sz w:val="24"/>
          <w:szCs w:val="24"/>
        </w:rPr>
        <w:drawing>
          <wp:inline distT="0" distB="0" distL="114300" distR="114300">
            <wp:extent cx="5530850" cy="1685290"/>
            <wp:effectExtent l="0" t="0" r="1270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530850" cy="1685290"/>
                    </a:xfrm>
                    <a:prstGeom prst="rect">
                      <a:avLst/>
                    </a:prstGeom>
                    <a:noFill/>
                    <a:ln>
                      <a:noFill/>
                    </a:ln>
                  </pic:spPr>
                </pic:pic>
              </a:graphicData>
            </a:graphic>
          </wp:inline>
        </w:drawing>
      </w:r>
    </w:p>
    <w:p>
      <w:pPr>
        <w:pStyle w:val="8"/>
        <w:numPr>
          <w:ilvl w:val="3"/>
          <w:numId w:val="8"/>
        </w:numPr>
        <w:ind w:left="850" w:leftChars="0" w:hanging="850" w:firstLineChars="0"/>
        <w:outlineLvl w:val="3"/>
        <w:rPr>
          <w:rStyle w:val="140"/>
          <w:rFonts w:hint="eastAsia" w:ascii="宋体" w:hAnsi="宋体" w:eastAsia="宋体" w:cs="宋体"/>
          <w:b/>
          <w:i w:val="0"/>
          <w:caps w:val="0"/>
          <w:spacing w:val="0"/>
          <w:w w:val="100"/>
          <w:kern w:val="2"/>
          <w:sz w:val="24"/>
          <w:szCs w:val="24"/>
          <w:lang w:val="en-US" w:eastAsia="zh-CN" w:bidi="ar-SA"/>
        </w:rPr>
      </w:pPr>
      <w:bookmarkStart w:id="84" w:name="_Toc11728"/>
      <w:r>
        <w:rPr>
          <w:rStyle w:val="140"/>
          <w:rFonts w:hint="eastAsia" w:ascii="宋体" w:hAnsi="宋体" w:eastAsia="宋体" w:cs="宋体"/>
          <w:b/>
          <w:i w:val="0"/>
          <w:caps w:val="0"/>
          <w:spacing w:val="0"/>
          <w:w w:val="100"/>
          <w:kern w:val="2"/>
          <w:sz w:val="24"/>
          <w:szCs w:val="24"/>
          <w:lang w:val="en-US" w:eastAsia="zh-CN" w:bidi="ar-SA"/>
        </w:rPr>
        <w:t>系统配置</w:t>
      </w:r>
    </w:p>
    <w:bookmarkEnd w:id="84"/>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Style w:val="140"/>
          <w:rFonts w:hint="eastAsia" w:ascii="宋体" w:hAnsi="宋体" w:eastAsia="宋体" w:cs="宋体"/>
          <w:b w:val="0"/>
          <w:i w:val="0"/>
          <w:caps w:val="0"/>
          <w:spacing w:val="0"/>
          <w:w w:val="100"/>
          <w:kern w:val="2"/>
          <w:sz w:val="24"/>
          <w:szCs w:val="24"/>
          <w:lang w:val="en-US" w:eastAsia="zh-CN" w:bidi="ar-SA"/>
        </w:rPr>
      </w:pPr>
      <w:r>
        <w:rPr>
          <w:rStyle w:val="140"/>
          <w:rFonts w:hint="eastAsia" w:ascii="宋体" w:hAnsi="宋体" w:eastAsia="宋体" w:cs="宋体"/>
          <w:b w:val="0"/>
          <w:i w:val="0"/>
          <w:caps w:val="0"/>
          <w:spacing w:val="0"/>
          <w:w w:val="100"/>
          <w:kern w:val="2"/>
          <w:sz w:val="24"/>
          <w:szCs w:val="24"/>
          <w:lang w:val="en-US" w:eastAsia="zh-CN" w:bidi="ar-SA"/>
        </w:rPr>
        <w:t>中央集中控制系统为会议室做了智能化控制设计，为使用者提供简单、直接的控制界面，令使用者能方便地掌握整个空间环境各设备的状态及功能，本次设计：</w:t>
      </w:r>
    </w:p>
    <w:p>
      <w:pPr>
        <w:keepNext w:val="0"/>
        <w:keepLines w:val="0"/>
        <w:pageBreakBefore w:val="0"/>
        <w:widowControl/>
        <w:numPr>
          <w:ilvl w:val="0"/>
          <w:numId w:val="9"/>
        </w:numPr>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一台网络中控主机；</w:t>
      </w:r>
    </w:p>
    <w:p>
      <w:pPr>
        <w:keepNext w:val="0"/>
        <w:keepLines w:val="0"/>
        <w:pageBreakBefore w:val="0"/>
        <w:widowControl/>
        <w:numPr>
          <w:ilvl w:val="0"/>
          <w:numId w:val="9"/>
        </w:numPr>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一台无线触控屏；</w:t>
      </w:r>
    </w:p>
    <w:p>
      <w:pPr>
        <w:keepNext w:val="0"/>
        <w:keepLines w:val="0"/>
        <w:pageBreakBefore w:val="0"/>
        <w:widowControl/>
        <w:numPr>
          <w:ilvl w:val="0"/>
          <w:numId w:val="9"/>
        </w:numPr>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一台电源管理器；</w:t>
      </w:r>
    </w:p>
    <w:p>
      <w:pPr>
        <w:keepNext w:val="0"/>
        <w:keepLines w:val="0"/>
        <w:pageBreakBefore w:val="0"/>
        <w:widowControl/>
        <w:numPr>
          <w:ilvl w:val="0"/>
          <w:numId w:val="9"/>
        </w:numPr>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一套软件（软件由厂家结合实际需求现场编程），以及其他配套辅件等。</w:t>
      </w:r>
    </w:p>
    <w:p>
      <w:pPr>
        <w:pStyle w:val="8"/>
        <w:keepNext/>
        <w:keepLines/>
        <w:pageBreakBefore w:val="0"/>
        <w:widowControl/>
        <w:numPr>
          <w:ilvl w:val="3"/>
          <w:numId w:val="8"/>
        </w:numPr>
        <w:kinsoku/>
        <w:wordWrap/>
        <w:overflowPunct/>
        <w:topLinePunct w:val="0"/>
        <w:autoSpaceDE/>
        <w:autoSpaceDN/>
        <w:bidi w:val="0"/>
        <w:adjustRightInd/>
        <w:snapToGrid/>
        <w:spacing w:before="200" w:after="200" w:line="240" w:lineRule="auto"/>
        <w:ind w:left="850" w:leftChars="0" w:hanging="850" w:firstLineChars="0"/>
        <w:textAlignment w:val="baseline"/>
        <w:outlineLvl w:val="3"/>
        <w:rPr>
          <w:rStyle w:val="140"/>
          <w:rFonts w:hint="eastAsia" w:ascii="宋体" w:hAnsi="宋体" w:eastAsia="宋体" w:cs="宋体"/>
          <w:b/>
          <w:i w:val="0"/>
          <w:caps w:val="0"/>
          <w:spacing w:val="0"/>
          <w:w w:val="100"/>
          <w:kern w:val="2"/>
          <w:sz w:val="24"/>
          <w:szCs w:val="24"/>
          <w:lang w:val="en-US" w:eastAsia="zh-CN" w:bidi="ar-SA"/>
        </w:rPr>
      </w:pPr>
      <w:bookmarkStart w:id="85" w:name="_Toc26524"/>
      <w:r>
        <w:rPr>
          <w:rStyle w:val="140"/>
          <w:rFonts w:hint="eastAsia" w:ascii="宋体" w:hAnsi="宋体" w:eastAsia="宋体" w:cs="宋体"/>
          <w:b/>
          <w:i w:val="0"/>
          <w:caps w:val="0"/>
          <w:spacing w:val="0"/>
          <w:w w:val="100"/>
          <w:kern w:val="2"/>
          <w:sz w:val="24"/>
          <w:szCs w:val="24"/>
          <w:lang w:val="en-US" w:eastAsia="zh-CN" w:bidi="ar-SA"/>
        </w:rPr>
        <w:t>系统功能特点</w:t>
      </w:r>
    </w:p>
    <w:bookmarkEnd w:id="85"/>
    <w:p>
      <w:pPr>
        <w:widowControl/>
        <w:spacing w:line="360" w:lineRule="auto"/>
        <w:ind w:left="420" w:leftChars="200"/>
        <w:jc w:val="left"/>
        <w:rPr>
          <w:rFonts w:hint="eastAsia" w:ascii="宋体" w:hAnsi="宋体" w:eastAsia="宋体" w:cs="宋体"/>
          <w:kern w:val="0"/>
          <w:sz w:val="24"/>
          <w:szCs w:val="24"/>
        </w:rPr>
      </w:pPr>
      <w:r>
        <w:rPr>
          <w:rFonts w:hint="eastAsia" w:ascii="宋体" w:hAnsi="宋体" w:eastAsia="宋体" w:cs="宋体"/>
          <w:kern w:val="0"/>
          <w:sz w:val="24"/>
          <w:szCs w:val="24"/>
        </w:rPr>
        <w:t>1、可以控制会场的音视频信号的切换、现场的音量大小。</w:t>
      </w:r>
    </w:p>
    <w:p>
      <w:pPr>
        <w:widowControl/>
        <w:spacing w:line="360" w:lineRule="auto"/>
        <w:ind w:left="420" w:leftChars="200"/>
        <w:jc w:val="left"/>
        <w:rPr>
          <w:rFonts w:hint="eastAsia" w:ascii="宋体" w:hAnsi="宋体" w:eastAsia="宋体" w:cs="宋体"/>
          <w:kern w:val="0"/>
          <w:sz w:val="24"/>
          <w:szCs w:val="24"/>
        </w:rPr>
      </w:pPr>
      <w:r>
        <w:rPr>
          <w:rFonts w:hint="eastAsia" w:ascii="宋体" w:hAnsi="宋体" w:eastAsia="宋体" w:cs="宋体"/>
          <w:kern w:val="0"/>
          <w:sz w:val="24"/>
          <w:szCs w:val="24"/>
        </w:rPr>
        <w:t>2、可以一键切换为演出模式、一键切换为会议模式。</w:t>
      </w:r>
    </w:p>
    <w:p>
      <w:pPr>
        <w:widowControl/>
        <w:spacing w:line="360" w:lineRule="auto"/>
        <w:ind w:left="420" w:leftChars="200"/>
        <w:jc w:val="left"/>
        <w:rPr>
          <w:rFonts w:hint="eastAsia" w:ascii="宋体" w:hAnsi="宋体" w:eastAsia="宋体" w:cs="宋体"/>
          <w:kern w:val="0"/>
          <w:sz w:val="24"/>
          <w:szCs w:val="24"/>
        </w:rPr>
      </w:pPr>
      <w:r>
        <w:rPr>
          <w:rFonts w:hint="eastAsia" w:ascii="宋体" w:hAnsi="宋体" w:eastAsia="宋体" w:cs="宋体"/>
          <w:kern w:val="0"/>
          <w:sz w:val="24"/>
          <w:szCs w:val="24"/>
        </w:rPr>
        <w:t>3、DIY界面设计：根据现场功能需求，现场定制化软件操作界面和模式，一键即可完成对会场设备、环境的场景式切换。</w:t>
      </w:r>
    </w:p>
    <w:p>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4、管控方便：支持安卓、苹果移动端（手机或平板等）、支持墙面安装、支持操作台控制、支持桌面控制台方式等，可以满足各类会议室管控的类型；</w:t>
      </w:r>
    </w:p>
    <w:p>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5、支持有线或者无线方式进行管控，管理人员位置不受限制。</w:t>
      </w:r>
    </w:p>
    <w:p>
      <w:pPr>
        <w:widowControl/>
        <w:spacing w:line="360" w:lineRule="auto"/>
        <w:ind w:left="420" w:leftChars="200"/>
        <w:jc w:val="left"/>
        <w:rPr>
          <w:rFonts w:hint="eastAsia" w:ascii="宋体" w:hAnsi="宋体" w:eastAsia="宋体" w:cs="宋体"/>
          <w:kern w:val="0"/>
          <w:sz w:val="24"/>
          <w:szCs w:val="24"/>
        </w:rPr>
      </w:pPr>
      <w:r>
        <w:rPr>
          <w:rFonts w:hint="eastAsia" w:ascii="宋体" w:hAnsi="宋体" w:eastAsia="宋体" w:cs="宋体"/>
          <w:kern w:val="0"/>
          <w:sz w:val="24"/>
          <w:szCs w:val="24"/>
        </w:rPr>
        <w:t>6、支持平台管理：集中管理平台，可以对项目里所有中控进行分时，定时等集中管理；而且还自动整合相关数据资料给到用户分析，例如工作时长，使用情况等。</w:t>
      </w:r>
    </w:p>
    <w:p>
      <w:pPr>
        <w:widowControl/>
        <w:spacing w:line="360" w:lineRule="auto"/>
        <w:ind w:left="420" w:leftChars="200"/>
        <w:jc w:val="left"/>
        <w:rPr>
          <w:rFonts w:hint="eastAsia" w:ascii="宋体" w:hAnsi="宋体" w:eastAsia="宋体" w:cs="宋体"/>
          <w:kern w:val="0"/>
          <w:sz w:val="24"/>
          <w:szCs w:val="24"/>
        </w:rPr>
      </w:pPr>
      <w:r>
        <w:rPr>
          <w:rFonts w:hint="eastAsia" w:ascii="宋体" w:hAnsi="宋体" w:eastAsia="宋体" w:cs="宋体"/>
          <w:kern w:val="0"/>
          <w:sz w:val="24"/>
          <w:szCs w:val="24"/>
        </w:rPr>
        <w:t>7、具有权限管理功能：权限管理；定时任务管理；实时反馈目前视频流控制情况，可以让操作人员在人性化的触摸界面上对所有设备的开启和关闭的状态一目了然；大大减轻操作人员工作的劳动强度，并能提高工作效率。</w:t>
      </w:r>
    </w:p>
    <w:p>
      <w:pPr>
        <w:widowControl/>
        <w:spacing w:line="360" w:lineRule="auto"/>
        <w:ind w:left="420" w:leftChars="200"/>
        <w:jc w:val="left"/>
        <w:rPr>
          <w:rFonts w:hint="eastAsia" w:ascii="宋体" w:hAnsi="宋体" w:eastAsia="宋体" w:cs="宋体"/>
          <w:kern w:val="0"/>
          <w:sz w:val="24"/>
          <w:szCs w:val="24"/>
        </w:rPr>
      </w:pPr>
      <w:r>
        <w:rPr>
          <w:rFonts w:hint="eastAsia" w:ascii="宋体" w:hAnsi="宋体" w:eastAsia="宋体" w:cs="宋体"/>
          <w:kern w:val="0"/>
          <w:sz w:val="24"/>
          <w:szCs w:val="24"/>
        </w:rPr>
        <w:t>8、支持第三方平台对接：中控主机支持第三方平台对接，支持二次SDK开发，支持多平台整合项目。</w:t>
      </w:r>
    </w:p>
    <w:p>
      <w:pPr>
        <w:snapToGrid/>
        <w:spacing w:before="0" w:beforeAutospacing="0" w:after="0" w:afterAutospacing="0" w:line="240" w:lineRule="auto"/>
        <w:jc w:val="both"/>
        <w:textAlignment w:val="baseline"/>
        <w:outlineLvl w:val="2"/>
        <w:rPr>
          <w:rStyle w:val="140"/>
          <w:rFonts w:hint="eastAsia" w:ascii="宋体" w:hAnsi="宋体" w:eastAsia="宋体" w:cs="宋体"/>
          <w:b/>
          <w:i w:val="0"/>
          <w:caps w:val="0"/>
          <w:spacing w:val="0"/>
          <w:w w:val="100"/>
          <w:kern w:val="2"/>
          <w:sz w:val="24"/>
          <w:szCs w:val="24"/>
          <w:lang w:val="en-US" w:eastAsia="zh-CN" w:bidi="ar-SA"/>
        </w:rPr>
      </w:pPr>
      <w:bookmarkStart w:id="86" w:name="_Toc11971"/>
      <w:r>
        <w:rPr>
          <w:rStyle w:val="140"/>
          <w:rFonts w:hint="eastAsia" w:ascii="宋体" w:hAnsi="宋体" w:eastAsia="宋体" w:cs="宋体"/>
          <w:b/>
          <w:i w:val="0"/>
          <w:caps w:val="0"/>
          <w:spacing w:val="0"/>
          <w:w w:val="100"/>
          <w:kern w:val="2"/>
          <w:sz w:val="24"/>
          <w:szCs w:val="24"/>
          <w:lang w:val="en-US" w:eastAsia="zh-CN" w:bidi="ar-SA"/>
        </w:rPr>
        <w:t>3.3.3 会议扩声系统</w:t>
      </w:r>
      <w:bookmarkEnd w:id="86"/>
    </w:p>
    <w:p>
      <w:pPr>
        <w:pStyle w:val="8"/>
        <w:keepNext/>
        <w:keepLines/>
        <w:pageBreakBefore w:val="0"/>
        <w:widowControl/>
        <w:numPr>
          <w:ilvl w:val="3"/>
          <w:numId w:val="10"/>
        </w:numPr>
        <w:kinsoku/>
        <w:wordWrap/>
        <w:overflowPunct/>
        <w:topLinePunct w:val="0"/>
        <w:autoSpaceDE/>
        <w:autoSpaceDN/>
        <w:bidi w:val="0"/>
        <w:adjustRightInd/>
        <w:snapToGrid/>
        <w:spacing w:before="200" w:after="200" w:line="240" w:lineRule="auto"/>
        <w:ind w:left="850" w:leftChars="0" w:hanging="850" w:firstLineChars="0"/>
        <w:textAlignment w:val="baseline"/>
        <w:outlineLvl w:val="3"/>
        <w:rPr>
          <w:rStyle w:val="140"/>
          <w:rFonts w:hint="eastAsia" w:ascii="宋体" w:hAnsi="宋体" w:eastAsia="宋体" w:cs="宋体"/>
          <w:b/>
          <w:i w:val="0"/>
          <w:caps w:val="0"/>
          <w:spacing w:val="0"/>
          <w:w w:val="100"/>
          <w:kern w:val="2"/>
          <w:sz w:val="24"/>
          <w:szCs w:val="24"/>
          <w:lang w:val="en-US" w:eastAsia="zh-CN" w:bidi="ar-SA"/>
        </w:rPr>
      </w:pPr>
      <w:r>
        <w:rPr>
          <w:rStyle w:val="140"/>
          <w:rFonts w:hint="eastAsia" w:ascii="宋体" w:hAnsi="宋体" w:eastAsia="宋体" w:cs="宋体"/>
          <w:b/>
          <w:i w:val="0"/>
          <w:caps w:val="0"/>
          <w:spacing w:val="0"/>
          <w:w w:val="100"/>
          <w:kern w:val="2"/>
          <w:sz w:val="24"/>
          <w:szCs w:val="24"/>
          <w:lang w:val="en-US" w:eastAsia="zh-CN" w:bidi="ar-SA"/>
        </w:rPr>
        <w:t>方案设计标准</w:t>
      </w:r>
    </w:p>
    <w:p>
      <w:pPr>
        <w:keepNext w:val="0"/>
        <w:keepLines w:val="0"/>
        <w:pageBreakBefore w:val="0"/>
        <w:widowControl/>
        <w:numPr>
          <w:ilvl w:val="0"/>
          <w:numId w:val="11"/>
        </w:numPr>
        <w:tabs>
          <w:tab w:val="left" w:pos="0"/>
        </w:tabs>
        <w:kinsoku/>
        <w:wordWrap/>
        <w:overflowPunct/>
        <w:topLinePunct w:val="0"/>
        <w:autoSpaceDE w:val="0"/>
        <w:autoSpaceDN w:val="0"/>
        <w:bidi w:val="0"/>
        <w:adjustRightInd w:val="0"/>
        <w:snapToGrid/>
        <w:spacing w:line="540" w:lineRule="exact"/>
        <w:textAlignment w:val="baseline"/>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系统设计的依据</w:t>
      </w:r>
    </w:p>
    <w:p>
      <w:pPr>
        <w:keepNext w:val="0"/>
        <w:keepLines w:val="0"/>
        <w:pageBreakBefore w:val="0"/>
        <w:widowControl/>
        <w:numPr>
          <w:ilvl w:val="0"/>
          <w:numId w:val="12"/>
        </w:numPr>
        <w:tabs>
          <w:tab w:val="left" w:pos="1420"/>
        </w:tabs>
        <w:kinsoku/>
        <w:wordWrap/>
        <w:overflowPunct/>
        <w:topLinePunct w:val="0"/>
        <w:bidi w:val="0"/>
        <w:snapToGrid/>
        <w:spacing w:before="62" w:beforeLines="20" w:after="62" w:afterLines="20" w:line="5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用户对项目的要求；</w:t>
      </w:r>
    </w:p>
    <w:p>
      <w:pPr>
        <w:keepNext w:val="0"/>
        <w:keepLines w:val="0"/>
        <w:pageBreakBefore w:val="0"/>
        <w:widowControl/>
        <w:numPr>
          <w:ilvl w:val="0"/>
          <w:numId w:val="12"/>
        </w:numPr>
        <w:tabs>
          <w:tab w:val="left" w:pos="1420"/>
        </w:tabs>
        <w:kinsoku/>
        <w:wordWrap/>
        <w:overflowPunct/>
        <w:topLinePunct w:val="0"/>
        <w:bidi w:val="0"/>
        <w:snapToGrid/>
        <w:spacing w:before="62" w:beforeLines="20" w:after="62" w:afterLines="20" w:line="5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有关本项目的材料（如招标文件要求）；</w:t>
      </w:r>
    </w:p>
    <w:p>
      <w:pPr>
        <w:keepNext w:val="0"/>
        <w:keepLines w:val="0"/>
        <w:pageBreakBefore w:val="0"/>
        <w:widowControl/>
        <w:numPr>
          <w:ilvl w:val="0"/>
          <w:numId w:val="12"/>
        </w:numPr>
        <w:tabs>
          <w:tab w:val="left" w:pos="1420"/>
        </w:tabs>
        <w:kinsoku/>
        <w:wordWrap/>
        <w:overflowPunct/>
        <w:topLinePunct w:val="0"/>
        <w:bidi w:val="0"/>
        <w:snapToGrid/>
        <w:spacing w:before="62" w:beforeLines="20" w:after="62" w:afterLines="20" w:line="5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建筑装修图纸；</w:t>
      </w:r>
    </w:p>
    <w:p>
      <w:pPr>
        <w:keepNext w:val="0"/>
        <w:keepLines w:val="0"/>
        <w:pageBreakBefore w:val="0"/>
        <w:widowControl/>
        <w:numPr>
          <w:ilvl w:val="0"/>
          <w:numId w:val="12"/>
        </w:numPr>
        <w:tabs>
          <w:tab w:val="left" w:pos="1420"/>
        </w:tabs>
        <w:kinsoku/>
        <w:wordWrap/>
        <w:overflowPunct/>
        <w:topLinePunct w:val="0"/>
        <w:bidi w:val="0"/>
        <w:snapToGrid/>
        <w:spacing w:before="62" w:beforeLines="20" w:after="62" w:afterLines="20" w:line="5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国际、国家、省、行业有关技术标准和规范；</w:t>
      </w:r>
    </w:p>
    <w:p>
      <w:pPr>
        <w:keepNext w:val="0"/>
        <w:keepLines w:val="0"/>
        <w:pageBreakBefore w:val="0"/>
        <w:widowControl/>
        <w:numPr>
          <w:ilvl w:val="0"/>
          <w:numId w:val="12"/>
        </w:numPr>
        <w:tabs>
          <w:tab w:val="left" w:pos="1420"/>
        </w:tabs>
        <w:kinsoku/>
        <w:wordWrap/>
        <w:overflowPunct/>
        <w:topLinePunct w:val="0"/>
        <w:bidi w:val="0"/>
        <w:snapToGrid/>
        <w:spacing w:before="62" w:beforeLines="20" w:after="62" w:afterLines="20" w:line="5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其他有关文件和资料。</w:t>
      </w:r>
    </w:p>
    <w:p>
      <w:pPr>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lang w:val="zh-CN"/>
        </w:rPr>
        <w:t>音箱选型标准</w:t>
      </w:r>
    </w:p>
    <w:p>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声学指标</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为了使设计的目标具有可“度量性”，以原广电部GYJ25-86《厅堂扩声系统声学特性指标》我们认为所确定的设计指标，应该为本厅扩声系统的设计将选用国家《语言音乐兼用一级声学特性指标》；会议室声场具有以下效果：</w:t>
      </w:r>
    </w:p>
    <w:p>
      <w:pPr>
        <w:keepNext w:val="0"/>
        <w:keepLines w:val="0"/>
        <w:pageBreakBefore w:val="0"/>
        <w:widowControl/>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音响设计标准——会议类</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足够的声压级</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随着现代录音技术的发展以及人们听觉鉴赏水平的提高，要求系统有足够动态余量，以适应不失真还原大动态的音频信号。设计所选用的扬声器功率大，灵敏度高，与之相匹配的</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功率放大器具有足够的功率储备。经计算完工后的会议室内的声压级应该完全可以达到国家一级厅堂的指标要求。</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良好的声场均匀度</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设计中所选的扬声器显然是根据观众区的具体位置和面积，组成“点”声源阵列，有效降低阵列的梳状滤波效应，所选用的扬声器都是恒指向扬声器，有利于语言清晰度的提高，观众区都处于扬声器的覆盖范围内，可以预见声场均匀度是良好的，而通过计算机的模拟运算结果也可证明这一点。</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平滑的传输频率特性</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系统中对每路扬声器都进行参量均衡的调整，使其在指向性控制范围内各频率声束宽度变化很小，没有过激点和陷波点，而且在扩声系统中，每路扬声器都连接有一台房间均衡器（在数字音视频处理系统中），能提供足够的手段改善观众厅和荧幕区耦合空间声场对传输频率特性的影响，确保系统的传输频率特性平滑。</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良好的传声增益</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系统中的扬声器布置合理，观众区均在主扩声扬声器的覆盖范围，所选用的扬声器采用恒定指向号角，－6dB角外的声能衰减迅速；因此，系统的传声增益要达到设计目标是有保障的。</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系统适应性强，方便扩展</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通过对设备体系的分析,我们认为在设计过程中除对上述客观可测量指标进行重点考虑外，还可从使用的角度出发，放宽系统的适应性，除可以满足会议扩声要求外，它也可以满足多媒体音乐播放的要求，整个系统有效重放频率宽度为35Hz—18kHz，系统的设备，都保留有足够的扩展空间。</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可靠性高、技术成熟</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系统在设计中，在扬声器的最大声压级、功放的功率储备、扬声器的保护、音频处理器的处理能力等环节引入冗余备份的设计理念，功放与扬声器单元的设计处于最佳匹配状态这种系统整体解决方案，除对音质高保真重放有利外，另一个重要的优势就是大大提高了设备的可靠性。</w:t>
      </w:r>
    </w:p>
    <w:p>
      <w:pPr>
        <w:pStyle w:val="8"/>
        <w:numPr>
          <w:ilvl w:val="3"/>
          <w:numId w:val="10"/>
        </w:numPr>
        <w:ind w:left="850" w:leftChars="0" w:hanging="850" w:firstLineChars="0"/>
        <w:outlineLvl w:val="3"/>
        <w:rPr>
          <w:rStyle w:val="140"/>
          <w:rFonts w:hint="eastAsia" w:ascii="宋体" w:hAnsi="宋体" w:eastAsia="宋体" w:cs="宋体"/>
          <w:b/>
          <w:i w:val="0"/>
          <w:caps w:val="0"/>
          <w:spacing w:val="0"/>
          <w:w w:val="100"/>
          <w:kern w:val="2"/>
          <w:sz w:val="24"/>
          <w:szCs w:val="24"/>
          <w:lang w:val="en-US" w:eastAsia="zh-CN" w:bidi="ar-SA"/>
        </w:rPr>
      </w:pPr>
      <w:bookmarkStart w:id="87" w:name="_Toc17292"/>
      <w:bookmarkStart w:id="88" w:name="_Toc18969"/>
      <w:r>
        <w:rPr>
          <w:rStyle w:val="140"/>
          <w:rFonts w:hint="eastAsia" w:ascii="宋体" w:hAnsi="宋体" w:eastAsia="宋体" w:cs="宋体"/>
          <w:b/>
          <w:i w:val="0"/>
          <w:caps w:val="0"/>
          <w:spacing w:val="0"/>
          <w:w w:val="100"/>
          <w:kern w:val="2"/>
          <w:sz w:val="24"/>
          <w:szCs w:val="24"/>
          <w:lang w:val="en-US" w:eastAsia="zh-CN" w:bidi="ar-SA"/>
        </w:rPr>
        <w:t>设计目标</w:t>
      </w:r>
    </w:p>
    <w:bookmarkEnd w:id="87"/>
    <w:bookmarkEnd w:id="88"/>
    <w:p>
      <w:pPr>
        <w:pStyle w:val="2"/>
        <w:keepNext w:val="0"/>
        <w:keepLines w:val="0"/>
        <w:pageBreakBefore w:val="0"/>
        <w:widowControl/>
        <w:kinsoku/>
        <w:wordWrap/>
        <w:overflowPunct/>
        <w:topLinePunct w:val="0"/>
        <w:autoSpaceDE/>
        <w:autoSpaceDN/>
        <w:bidi w:val="0"/>
        <w:adjustRightInd/>
        <w:snapToGrid/>
        <w:spacing w:after="0"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根据使用方的功能需求，依据行业设计依据，该项目整体设计，实现以下目标：</w:t>
      </w:r>
    </w:p>
    <w:p>
      <w:pPr>
        <w:pStyle w:val="2"/>
        <w:keepNext w:val="0"/>
        <w:keepLines w:val="0"/>
        <w:pageBreakBefore w:val="0"/>
        <w:widowControl/>
        <w:numPr>
          <w:ilvl w:val="0"/>
          <w:numId w:val="13"/>
        </w:numPr>
        <w:tabs>
          <w:tab w:val="left" w:pos="0"/>
        </w:tabs>
        <w:kinsoku/>
        <w:wordWrap/>
        <w:overflowPunct/>
        <w:topLinePunct w:val="0"/>
        <w:autoSpaceDE/>
        <w:autoSpaceDN/>
        <w:bidi w:val="0"/>
        <w:adjustRightInd/>
        <w:snapToGrid/>
        <w:spacing w:after="0" w:line="540" w:lineRule="exact"/>
        <w:textAlignment w:val="baseline"/>
        <w:rPr>
          <w:rFonts w:hint="eastAsia" w:ascii="宋体" w:hAnsi="宋体" w:eastAsia="宋体" w:cs="宋体"/>
          <w:sz w:val="24"/>
          <w:szCs w:val="24"/>
        </w:rPr>
      </w:pPr>
      <w:r>
        <w:rPr>
          <w:rFonts w:hint="eastAsia" w:ascii="宋体" w:hAnsi="宋体" w:eastAsia="宋体" w:cs="宋体"/>
          <w:sz w:val="24"/>
          <w:szCs w:val="24"/>
        </w:rPr>
        <w:t>保证音频扩音系统易操作、功能灵活，满足会议的不同功能要求；</w:t>
      </w:r>
    </w:p>
    <w:p>
      <w:pPr>
        <w:pStyle w:val="2"/>
        <w:keepNext w:val="0"/>
        <w:keepLines w:val="0"/>
        <w:pageBreakBefore w:val="0"/>
        <w:widowControl/>
        <w:numPr>
          <w:ilvl w:val="0"/>
          <w:numId w:val="13"/>
        </w:numPr>
        <w:tabs>
          <w:tab w:val="left" w:pos="0"/>
        </w:tabs>
        <w:kinsoku/>
        <w:wordWrap/>
        <w:overflowPunct/>
        <w:topLinePunct w:val="0"/>
        <w:autoSpaceDE/>
        <w:autoSpaceDN/>
        <w:bidi w:val="0"/>
        <w:adjustRightInd/>
        <w:snapToGrid/>
        <w:spacing w:after="0" w:line="540" w:lineRule="exact"/>
        <w:textAlignment w:val="baseline"/>
        <w:rPr>
          <w:rFonts w:hint="eastAsia" w:ascii="宋体" w:hAnsi="宋体" w:eastAsia="宋体" w:cs="宋体"/>
          <w:sz w:val="24"/>
          <w:szCs w:val="24"/>
        </w:rPr>
      </w:pPr>
      <w:r>
        <w:rPr>
          <w:rFonts w:hint="eastAsia" w:ascii="宋体" w:hAnsi="宋体" w:eastAsia="宋体" w:cs="宋体"/>
          <w:sz w:val="24"/>
          <w:szCs w:val="24"/>
        </w:rPr>
        <w:t>满足召开日常会议、多功能会议等要求；</w:t>
      </w:r>
    </w:p>
    <w:p>
      <w:pPr>
        <w:pStyle w:val="8"/>
        <w:keepNext/>
        <w:keepLines/>
        <w:pageBreakBefore w:val="0"/>
        <w:widowControl/>
        <w:numPr>
          <w:ilvl w:val="3"/>
          <w:numId w:val="10"/>
        </w:numPr>
        <w:kinsoku/>
        <w:wordWrap/>
        <w:overflowPunct/>
        <w:topLinePunct w:val="0"/>
        <w:autoSpaceDE/>
        <w:autoSpaceDN/>
        <w:bidi w:val="0"/>
        <w:adjustRightInd/>
        <w:snapToGrid/>
        <w:spacing w:before="200" w:after="200" w:line="240" w:lineRule="auto"/>
        <w:ind w:left="850" w:leftChars="0" w:hanging="850" w:firstLineChars="0"/>
        <w:textAlignment w:val="baseline"/>
        <w:outlineLvl w:val="3"/>
        <w:rPr>
          <w:rStyle w:val="140"/>
          <w:rFonts w:hint="eastAsia" w:ascii="宋体" w:hAnsi="宋体" w:eastAsia="宋体" w:cs="宋体"/>
          <w:b/>
          <w:i w:val="0"/>
          <w:caps w:val="0"/>
          <w:spacing w:val="0"/>
          <w:w w:val="100"/>
          <w:kern w:val="2"/>
          <w:sz w:val="24"/>
          <w:szCs w:val="24"/>
          <w:lang w:val="en-US" w:eastAsia="zh-CN" w:bidi="ar-SA"/>
        </w:rPr>
      </w:pPr>
      <w:bookmarkStart w:id="89" w:name="_Toc2648"/>
      <w:r>
        <w:rPr>
          <w:rStyle w:val="140"/>
          <w:rFonts w:hint="eastAsia" w:ascii="宋体" w:hAnsi="宋体" w:eastAsia="宋体" w:cs="宋体"/>
          <w:b/>
          <w:i w:val="0"/>
          <w:caps w:val="0"/>
          <w:spacing w:val="0"/>
          <w:w w:val="100"/>
          <w:kern w:val="2"/>
          <w:sz w:val="24"/>
          <w:szCs w:val="24"/>
          <w:lang w:val="en-US" w:eastAsia="zh-CN" w:bidi="ar-SA"/>
        </w:rPr>
        <w:t>设计内容</w:t>
      </w:r>
    </w:p>
    <w:bookmarkEnd w:id="89"/>
    <w:p>
      <w:pPr>
        <w:keepNext w:val="0"/>
        <w:keepLines w:val="0"/>
        <w:pageBreakBefore w:val="0"/>
        <w:widowControl/>
        <w:numPr>
          <w:ilvl w:val="0"/>
          <w:numId w:val="14"/>
        </w:numPr>
        <w:kinsoku/>
        <w:wordWrap/>
        <w:overflowPunct/>
        <w:topLinePunct w:val="0"/>
        <w:autoSpaceDE w:val="0"/>
        <w:autoSpaceDN w:val="0"/>
        <w:bidi w:val="0"/>
        <w:adjustRightInd w:val="0"/>
        <w:snapToGrid/>
        <w:spacing w:line="540" w:lineRule="exact"/>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会议室概况</w:t>
      </w:r>
    </w:p>
    <w:p>
      <w:pPr>
        <w:keepNext w:val="0"/>
        <w:keepLines w:val="0"/>
        <w:pageBreakBefore w:val="0"/>
        <w:widowControl/>
        <w:numPr>
          <w:ilvl w:val="0"/>
          <w:numId w:val="15"/>
        </w:numPr>
        <w:kinsoku/>
        <w:wordWrap/>
        <w:overflowPunct/>
        <w:topLinePunct w:val="0"/>
        <w:bidi w:val="0"/>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主要用途：日常会议、培训。</w:t>
      </w:r>
    </w:p>
    <w:p>
      <w:pPr>
        <w:keepNext w:val="0"/>
        <w:keepLines w:val="0"/>
        <w:pageBreakBefore w:val="0"/>
        <w:widowControl/>
        <w:numPr>
          <w:ilvl w:val="0"/>
          <w:numId w:val="15"/>
        </w:numPr>
        <w:kinsoku/>
        <w:wordWrap/>
        <w:overflowPunct/>
        <w:topLinePunct w:val="0"/>
        <w:bidi w:val="0"/>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设计系统：音频扩声系统等。</w:t>
      </w:r>
    </w:p>
    <w:p>
      <w:pPr>
        <w:numPr>
          <w:ilvl w:val="0"/>
          <w:numId w:val="14"/>
        </w:numPr>
        <w:autoSpaceDE w:val="0"/>
        <w:autoSpaceDN w:val="0"/>
        <w:adjustRightIn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设计效果</w:t>
      </w:r>
    </w:p>
    <w:p>
      <w:pPr>
        <w:keepNext w:val="0"/>
        <w:keepLines w:val="0"/>
        <w:pageBreakBefore w:val="0"/>
        <w:widowControl/>
        <w:numPr>
          <w:ilvl w:val="0"/>
          <w:numId w:val="15"/>
        </w:numPr>
        <w:kinsoku/>
        <w:wordWrap/>
        <w:overflowPunct/>
        <w:topLinePunct w:val="0"/>
        <w:autoSpaceDE/>
        <w:autoSpaceDN/>
        <w:bidi w:val="0"/>
        <w:adjustRightInd/>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参会人员通过会议发言话筒讲话，通过音响系统把声音高保真、清晰的扩声，达到会议室开会声压级的标准和需求；</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通过对会议室音视频的管控，以上功能组成了多媒体会议系统，实现现代化会议室智能化、网络化。</w:t>
      </w:r>
    </w:p>
    <w:p>
      <w:pPr>
        <w:numPr>
          <w:ilvl w:val="0"/>
          <w:numId w:val="14"/>
        </w:numPr>
        <w:autoSpaceDE w:val="0"/>
        <w:autoSpaceDN w:val="0"/>
        <w:adjustRightIn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系统设计</w:t>
      </w:r>
    </w:p>
    <w:p>
      <w:pPr>
        <w:bidi w:val="0"/>
        <w:rPr>
          <w:rFonts w:hint="eastAsia" w:ascii="宋体" w:hAnsi="宋体" w:eastAsia="宋体" w:cs="宋体"/>
          <w:b/>
          <w:bCs/>
          <w:sz w:val="24"/>
          <w:szCs w:val="24"/>
        </w:rPr>
      </w:pPr>
      <w:r>
        <w:rPr>
          <w:rFonts w:hint="eastAsia" w:ascii="宋体" w:hAnsi="宋体" w:eastAsia="宋体" w:cs="宋体"/>
          <w:b/>
          <w:bCs/>
          <w:sz w:val="24"/>
          <w:szCs w:val="24"/>
        </w:rPr>
        <w:t>专业扩声系统</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参考国家厅堂扩声设计标准一级进行设计，语言扩声系统一级标准要≥98dB，声场不均匀度要做到1kHz和4kHz时测量≤8dB；传声增益在125~4 kHz的平均值要≥-8dB。</w:t>
      </w:r>
    </w:p>
    <w:p>
      <w:pPr>
        <w:bidi w:val="0"/>
        <w:rPr>
          <w:rFonts w:hint="eastAsia" w:ascii="宋体" w:hAnsi="宋体" w:eastAsia="宋体" w:cs="宋体"/>
          <w:b/>
          <w:bCs/>
          <w:sz w:val="24"/>
          <w:szCs w:val="24"/>
        </w:rPr>
      </w:pPr>
      <w:r>
        <w:rPr>
          <w:rFonts w:hint="eastAsia" w:ascii="宋体" w:hAnsi="宋体" w:eastAsia="宋体" w:cs="宋体"/>
          <w:b/>
          <w:bCs/>
          <w:sz w:val="24"/>
          <w:szCs w:val="24"/>
        </w:rPr>
        <w:t>音箱、功放设计</w:t>
      </w:r>
    </w:p>
    <w:p>
      <w:pPr>
        <w:keepNext w:val="0"/>
        <w:keepLines w:val="0"/>
        <w:pageBreakBefore w:val="0"/>
        <w:widowControl/>
        <w:numPr>
          <w:ilvl w:val="0"/>
          <w:numId w:val="16"/>
        </w:numPr>
        <w:kinsoku/>
        <w:wordWrap/>
        <w:overflowPunct/>
        <w:topLinePunct w:val="0"/>
        <w:autoSpaceDE/>
        <w:autoSpaceDN/>
        <w:bidi w:val="0"/>
        <w:adjustRightInd/>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设计4只400W线性音箱（由2台2*1050W4Ω功放驱动）音箱安装在会场前2侧。线性音箱主要用于会场主扩声，满足声音覆盖大半场或者全场的声压级需求。</w:t>
      </w:r>
    </w:p>
    <w:p>
      <w:pPr>
        <w:keepNext w:val="0"/>
        <w:keepLines w:val="0"/>
        <w:pageBreakBefore w:val="0"/>
        <w:widowControl/>
        <w:numPr>
          <w:ilvl w:val="0"/>
          <w:numId w:val="16"/>
        </w:numPr>
        <w:kinsoku/>
        <w:wordWrap/>
        <w:overflowPunct/>
        <w:topLinePunct w:val="0"/>
        <w:autoSpaceDE/>
        <w:autoSpaceDN/>
        <w:bidi w:val="0"/>
        <w:adjustRightInd/>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现场声压级达到国家一级标准，满足现场会议扩声的使用需求。</w:t>
      </w:r>
    </w:p>
    <w:p>
      <w:pPr>
        <w:keepNext w:val="0"/>
        <w:keepLines w:val="0"/>
        <w:pageBreakBefore w:val="0"/>
        <w:widowControl/>
        <w:numPr>
          <w:ilvl w:val="0"/>
          <w:numId w:val="16"/>
        </w:numPr>
        <w:kinsoku/>
        <w:wordWrap/>
        <w:overflowPunct/>
        <w:topLinePunct w:val="0"/>
        <w:autoSpaceDE/>
        <w:autoSpaceDN/>
        <w:bidi w:val="0"/>
        <w:adjustRightInd/>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功放功率严格按照音箱功率的1.5倍配置。</w:t>
      </w:r>
    </w:p>
    <w:p>
      <w:pPr>
        <w:bidi w:val="0"/>
        <w:rPr>
          <w:rFonts w:hint="eastAsia" w:ascii="宋体" w:hAnsi="宋体" w:eastAsia="宋体" w:cs="宋体"/>
          <w:b/>
          <w:bCs/>
          <w:sz w:val="24"/>
          <w:szCs w:val="24"/>
        </w:rPr>
      </w:pPr>
      <w:r>
        <w:rPr>
          <w:rFonts w:hint="eastAsia" w:ascii="宋体" w:hAnsi="宋体" w:eastAsia="宋体" w:cs="宋体"/>
          <w:b/>
          <w:bCs/>
          <w:sz w:val="24"/>
          <w:szCs w:val="24"/>
        </w:rPr>
        <w:t>音源、处理器设计</w:t>
      </w:r>
    </w:p>
    <w:p>
      <w:pPr>
        <w:keepNext w:val="0"/>
        <w:keepLines w:val="0"/>
        <w:pageBreakBefore w:val="0"/>
        <w:widowControl/>
        <w:numPr>
          <w:ilvl w:val="0"/>
          <w:numId w:val="16"/>
        </w:numPr>
        <w:kinsoku/>
        <w:wordWrap/>
        <w:overflowPunct/>
        <w:topLinePunct w:val="0"/>
        <w:autoSpaceDE/>
        <w:autoSpaceDN/>
        <w:bidi w:val="0"/>
        <w:adjustRightInd/>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设计一套手持无线话筒，用于会议主持、用移动发言等。</w:t>
      </w:r>
    </w:p>
    <w:p>
      <w:pPr>
        <w:keepNext w:val="0"/>
        <w:keepLines w:val="0"/>
        <w:pageBreakBefore w:val="0"/>
        <w:widowControl/>
        <w:numPr>
          <w:ilvl w:val="0"/>
          <w:numId w:val="16"/>
        </w:numPr>
        <w:kinsoku/>
        <w:wordWrap/>
        <w:overflowPunct/>
        <w:topLinePunct w:val="0"/>
        <w:autoSpaceDE/>
        <w:autoSpaceDN/>
        <w:bidi w:val="0"/>
        <w:adjustRightInd/>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设计一套1一拖八无线鹅颈话筒，用于会议发言等。</w:t>
      </w:r>
    </w:p>
    <w:p>
      <w:pPr>
        <w:keepNext w:val="0"/>
        <w:keepLines w:val="0"/>
        <w:pageBreakBefore w:val="0"/>
        <w:widowControl/>
        <w:numPr>
          <w:ilvl w:val="0"/>
          <w:numId w:val="16"/>
        </w:numPr>
        <w:kinsoku/>
        <w:wordWrap/>
        <w:overflowPunct/>
        <w:topLinePunct w:val="0"/>
        <w:autoSpaceDE/>
        <w:autoSpaceDN/>
        <w:bidi w:val="0"/>
        <w:adjustRightInd/>
        <w:snapToGrid/>
        <w:spacing w:line="540" w:lineRule="exact"/>
        <w:ind w:left="0" w:firstLine="0"/>
        <w:textAlignment w:val="baseline"/>
        <w:rPr>
          <w:rFonts w:hint="eastAsia" w:ascii="宋体" w:hAnsi="宋体" w:eastAsia="宋体" w:cs="宋体"/>
          <w:sz w:val="24"/>
          <w:szCs w:val="24"/>
        </w:rPr>
      </w:pPr>
      <w:r>
        <w:rPr>
          <w:rFonts w:hint="eastAsia" w:ascii="宋体" w:hAnsi="宋体" w:eastAsia="宋体" w:cs="宋体"/>
          <w:sz w:val="24"/>
          <w:szCs w:val="24"/>
        </w:rPr>
        <w:t>设计一台调音台，主要用于声音混音、增益调节、声音大小控制等作用。</w:t>
      </w:r>
    </w:p>
    <w:p>
      <w:pPr>
        <w:pStyle w:val="2"/>
        <w:rPr>
          <w:rFonts w:hint="eastAsia" w:ascii="宋体" w:hAnsi="宋体" w:eastAsia="宋体" w:cs="宋体"/>
          <w:b/>
          <w:bCs/>
          <w:sz w:val="24"/>
          <w:szCs w:val="24"/>
        </w:rPr>
      </w:pPr>
      <w:r>
        <w:rPr>
          <w:rFonts w:hint="eastAsia" w:ascii="宋体" w:hAnsi="宋体" w:eastAsia="宋体" w:cs="宋体"/>
          <w:sz w:val="24"/>
          <w:szCs w:val="24"/>
        </w:rPr>
        <w:t>设计音频处理器一台，主要用于音频矩阵切换、反馈抑制、前级放大、均衡调节、声音滤波、处理音色效果等功能。</w:t>
      </w:r>
    </w:p>
    <w:p>
      <w:pPr>
        <w:pStyle w:val="2"/>
        <w:rPr>
          <w:rFonts w:hint="eastAsia" w:ascii="宋体" w:hAnsi="宋体" w:eastAsia="宋体" w:cs="宋体"/>
          <w:b/>
          <w:bCs/>
          <w:sz w:val="24"/>
          <w:szCs w:val="24"/>
        </w:rPr>
      </w:pPr>
      <w:r>
        <w:rPr>
          <w:rStyle w:val="140"/>
          <w:rFonts w:hint="eastAsia" w:ascii="宋体" w:hAnsi="宋体" w:eastAsia="宋体" w:cs="宋体"/>
          <w:b/>
          <w:bCs/>
          <w:i w:val="0"/>
          <w:caps w:val="0"/>
          <w:spacing w:val="0"/>
          <w:w w:val="100"/>
          <w:kern w:val="2"/>
          <w:sz w:val="24"/>
          <w:szCs w:val="24"/>
          <w:lang w:val="en-US" w:eastAsia="zh-CN" w:bidi="ar-SA"/>
        </w:rPr>
        <w:t>4</w:t>
      </w:r>
      <w:r>
        <w:rPr>
          <w:rStyle w:val="140"/>
          <w:rFonts w:hint="eastAsia" w:ascii="宋体" w:hAnsi="宋体" w:eastAsia="宋体" w:cs="宋体"/>
          <w:b w:val="0"/>
          <w:i w:val="0"/>
          <w:caps w:val="0"/>
          <w:spacing w:val="0"/>
          <w:w w:val="100"/>
          <w:kern w:val="2"/>
          <w:sz w:val="24"/>
          <w:szCs w:val="24"/>
          <w:lang w:val="en-US" w:eastAsia="zh-CN" w:bidi="ar-SA"/>
        </w:rPr>
        <w:t>.</w:t>
      </w:r>
      <w:r>
        <w:rPr>
          <w:rStyle w:val="140"/>
          <w:rFonts w:hint="eastAsia" w:ascii="宋体" w:hAnsi="宋体" w:eastAsia="宋体" w:cs="宋体"/>
          <w:b w:val="0"/>
          <w:i w:val="0"/>
          <w:caps w:val="0"/>
          <w:spacing w:val="0"/>
          <w:w w:val="100"/>
          <w:kern w:val="2"/>
          <w:sz w:val="24"/>
          <w:szCs w:val="24"/>
          <w:lang w:val="zh-CN" w:eastAsia="zh-CN" w:bidi="ar-SA"/>
        </w:rPr>
        <w:t>项目总投资预算</w:t>
      </w:r>
      <w:r>
        <w:rPr>
          <w:rStyle w:val="140"/>
          <w:rFonts w:hint="eastAsia" w:ascii="宋体" w:hAnsi="宋体" w:eastAsia="宋体" w:cs="宋体"/>
          <w:b w:val="0"/>
          <w:i w:val="0"/>
          <w:caps w:val="0"/>
          <w:spacing w:val="0"/>
          <w:w w:val="100"/>
          <w:kern w:val="2"/>
          <w:sz w:val="24"/>
          <w:szCs w:val="24"/>
          <w:lang w:val="en-US" w:eastAsia="zh-CN" w:bidi="ar-SA"/>
        </w:rPr>
        <w:t>68万</w:t>
      </w:r>
      <w:r>
        <w:rPr>
          <w:rStyle w:val="140"/>
          <w:rFonts w:hint="eastAsia" w:ascii="宋体" w:hAnsi="宋体" w:eastAsia="宋体" w:cs="宋体"/>
          <w:b w:val="0"/>
          <w:i w:val="0"/>
          <w:caps w:val="0"/>
          <w:spacing w:val="0"/>
          <w:w w:val="100"/>
          <w:kern w:val="2"/>
          <w:sz w:val="24"/>
          <w:szCs w:val="24"/>
          <w:lang w:val="zh-CN" w:eastAsia="zh-CN" w:bidi="ar-SA"/>
        </w:rPr>
        <w:t>元。</w:t>
      </w:r>
      <w:r>
        <w:rPr>
          <w:rStyle w:val="140"/>
          <w:rFonts w:hint="eastAsia" w:ascii="宋体" w:hAnsi="宋体" w:eastAsia="宋体" w:cs="宋体"/>
          <w:b w:val="0"/>
          <w:i w:val="0"/>
          <w:caps w:val="0"/>
          <w:spacing w:val="0"/>
          <w:w w:val="100"/>
          <w:kern w:val="2"/>
          <w:sz w:val="24"/>
          <w:szCs w:val="24"/>
          <w:lang w:val="en-US" w:eastAsia="zh-CN" w:bidi="ar-SA"/>
        </w:rPr>
        <w:t>包含以下硬件及服务：</w:t>
      </w:r>
    </w:p>
    <w:p>
      <w:pPr>
        <w:rPr>
          <w:rFonts w:hint="eastAsia"/>
          <w:lang w:eastAsia="zh-CN"/>
        </w:rPr>
      </w:pPr>
    </w:p>
    <w:tbl>
      <w:tblPr>
        <w:tblStyle w:val="39"/>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705"/>
        <w:gridCol w:w="7474"/>
        <w:gridCol w:w="763"/>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36"/>
                <w:szCs w:val="36"/>
              </w:rPr>
            </w:pPr>
            <w:r>
              <w:rPr>
                <w:rFonts w:hint="eastAsia" w:ascii="黑体" w:hAnsi="黑体" w:eastAsia="黑体" w:cs="黑体"/>
                <w:b/>
                <w:bCs/>
                <w:kern w:val="0"/>
                <w:sz w:val="32"/>
                <w:szCs w:val="32"/>
                <w:lang w:bidi="ar"/>
              </w:rPr>
              <w:t>一、10楼会议室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ascii="宋体" w:hAnsi="宋体" w:cs="宋体"/>
                <w:b/>
                <w:bCs/>
                <w:sz w:val="24"/>
                <w:szCs w:val="24"/>
              </w:rPr>
            </w:pPr>
            <w:r>
              <w:rPr>
                <w:rFonts w:hint="eastAsia" w:ascii="宋体" w:hAnsi="宋体" w:cs="宋体"/>
                <w:b/>
                <w:bCs/>
                <w:kern w:val="0"/>
                <w:sz w:val="28"/>
                <w:szCs w:val="28"/>
                <w:lang w:bidi="ar"/>
              </w:rPr>
              <w:t>（一）、视频会议系统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23" w:type="dxa"/>
            <w:noWrap w:val="0"/>
            <w:vAlign w:val="center"/>
          </w:tcPr>
          <w:p>
            <w:pPr>
              <w:widowControl/>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序号</w:t>
            </w:r>
          </w:p>
        </w:tc>
        <w:tc>
          <w:tcPr>
            <w:tcW w:w="705" w:type="dxa"/>
            <w:noWrap w:val="0"/>
            <w:vAlign w:val="center"/>
          </w:tcPr>
          <w:p>
            <w:pPr>
              <w:widowControl/>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名称</w:t>
            </w:r>
          </w:p>
        </w:tc>
        <w:tc>
          <w:tcPr>
            <w:tcW w:w="7474" w:type="dxa"/>
            <w:noWrap w:val="0"/>
            <w:vAlign w:val="center"/>
          </w:tcPr>
          <w:p>
            <w:pPr>
              <w:widowControl/>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技术参数</w:t>
            </w:r>
          </w:p>
        </w:tc>
        <w:tc>
          <w:tcPr>
            <w:tcW w:w="763" w:type="dxa"/>
            <w:noWrap w:val="0"/>
            <w:vAlign w:val="center"/>
          </w:tcPr>
          <w:p>
            <w:pPr>
              <w:widowControl/>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单位</w:t>
            </w:r>
          </w:p>
        </w:tc>
        <w:tc>
          <w:tcPr>
            <w:tcW w:w="739" w:type="dxa"/>
            <w:noWrap w:val="0"/>
            <w:vAlign w:val="center"/>
          </w:tcPr>
          <w:p>
            <w:pPr>
              <w:widowControl/>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23" w:type="dxa"/>
            <w:noWrap w:val="0"/>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视频会议终端</w:t>
            </w:r>
          </w:p>
        </w:tc>
        <w:tc>
          <w:tcPr>
            <w:tcW w:w="7474" w:type="dxa"/>
            <w:noWrap w:val="0"/>
            <w:vAlign w:val="center"/>
          </w:tcPr>
          <w:p>
            <w:pPr>
              <w:widowControl/>
              <w:numPr>
                <w:ilvl w:val="0"/>
                <w:numId w:val="17"/>
              </w:numPr>
              <w:jc w:val="left"/>
              <w:textAlignment w:val="center"/>
              <w:rPr>
                <w:rFonts w:hint="eastAsia"/>
                <w:color w:val="auto"/>
                <w:lang w:val="en-US" w:eastAsia="zh-CN"/>
              </w:rPr>
            </w:pPr>
            <w:r>
              <w:rPr>
                <w:rFonts w:hint="eastAsia"/>
                <w:color w:val="auto"/>
              </w:rPr>
              <w:t>摄像头性能：视像分辨率不低于1080P，变焦倍数不低于</w:t>
            </w:r>
            <w:r>
              <w:rPr>
                <w:rFonts w:hint="eastAsia"/>
                <w:color w:val="auto"/>
                <w:lang w:val="en-US" w:eastAsia="zh-CN"/>
              </w:rPr>
              <w:t>12倍。</w:t>
            </w:r>
          </w:p>
          <w:p>
            <w:pPr>
              <w:widowControl/>
              <w:numPr>
                <w:ilvl w:val="0"/>
                <w:numId w:val="0"/>
              </w:numPr>
              <w:jc w:val="left"/>
              <w:textAlignment w:val="center"/>
              <w:rPr>
                <w:rFonts w:hint="eastAsia"/>
              </w:rPr>
            </w:pPr>
            <w:r>
              <w:rPr>
                <w:rFonts w:hint="eastAsia"/>
              </w:rPr>
              <w:t>2、视频输入接口：≥1路HD-VI接口，≥1路HDMI接口（HDMI支持音频输入），≥1路VGA接口；</w:t>
            </w:r>
          </w:p>
          <w:p>
            <w:pPr>
              <w:widowControl/>
              <w:jc w:val="left"/>
              <w:textAlignment w:val="center"/>
              <w:rPr>
                <w:rFonts w:hint="eastAsia"/>
              </w:rPr>
            </w:pPr>
            <w:r>
              <w:rPr>
                <w:rFonts w:hint="eastAsia"/>
              </w:rPr>
              <w:t>3、视频输出接口：≥2路HDMI接口，≥1路VGA接口；</w:t>
            </w:r>
          </w:p>
          <w:p>
            <w:pPr>
              <w:widowControl/>
              <w:jc w:val="left"/>
              <w:textAlignment w:val="center"/>
              <w:rPr>
                <w:rFonts w:hint="eastAsia"/>
              </w:rPr>
            </w:pPr>
            <w:r>
              <w:rPr>
                <w:rFonts w:hint="eastAsia"/>
              </w:rPr>
              <w:t>4、音频输入接口 ：≥1路卡侬头（XLR），≥2路RCA，≥1路阵列麦克风接口HD-AI，≥</w:t>
            </w:r>
            <w:r>
              <w:rPr>
                <w:rFonts w:hint="eastAsia"/>
                <w:lang w:val="en-US" w:eastAsia="zh-CN"/>
              </w:rPr>
              <w:t>1路</w:t>
            </w:r>
            <w:r>
              <w:rPr>
                <w:rFonts w:hint="eastAsia"/>
              </w:rPr>
              <w:t>HDMI（支持音频输入）；</w:t>
            </w:r>
          </w:p>
          <w:p>
            <w:pPr>
              <w:widowControl/>
              <w:jc w:val="left"/>
              <w:textAlignment w:val="center"/>
              <w:rPr>
                <w:rFonts w:hint="eastAsia"/>
              </w:rPr>
            </w:pPr>
            <w:r>
              <w:rPr>
                <w:rFonts w:hint="eastAsia"/>
              </w:rPr>
              <w:t>5、音频输出接口：≥4路RCA，≥2路HDMI（支持音频输出）；</w:t>
            </w:r>
          </w:p>
          <w:p>
            <w:pPr>
              <w:widowControl/>
              <w:jc w:val="left"/>
              <w:textAlignment w:val="center"/>
              <w:rPr>
                <w:rFonts w:hint="eastAsia"/>
              </w:rPr>
            </w:pPr>
            <w:r>
              <w:rPr>
                <w:rFonts w:hint="eastAsia"/>
              </w:rPr>
              <w:t>6、网络接口：≥2×10/100/1000M LAN，≥1路Wi-Fi（内置），≥1路PSTN；</w:t>
            </w:r>
          </w:p>
          <w:p>
            <w:pPr>
              <w:widowControl/>
              <w:jc w:val="left"/>
              <w:textAlignment w:val="center"/>
              <w:rPr>
                <w:rFonts w:hint="eastAsia"/>
              </w:rPr>
            </w:pPr>
            <w:r>
              <w:rPr>
                <w:rFonts w:hint="eastAsia"/>
              </w:rPr>
              <w:t>7、带宽要求 64kbit/s-8Mbit/s</w:t>
            </w:r>
          </w:p>
          <w:p>
            <w:pPr>
              <w:widowControl/>
              <w:jc w:val="left"/>
              <w:textAlignment w:val="center"/>
              <w:rPr>
                <w:rFonts w:hint="eastAsia"/>
              </w:rPr>
            </w:pPr>
            <w:r>
              <w:rPr>
                <w:rFonts w:hint="eastAsia"/>
              </w:rPr>
              <w:t>8、支持H.264 SVC、H.264 HP、IPV6；</w:t>
            </w:r>
          </w:p>
          <w:p>
            <w:pPr>
              <w:widowControl/>
              <w:jc w:val="left"/>
              <w:textAlignment w:val="center"/>
              <w:rPr>
                <w:rFonts w:hint="eastAsia"/>
              </w:rPr>
            </w:pPr>
            <w:r>
              <w:rPr>
                <w:rFonts w:hint="eastAsia"/>
              </w:rPr>
              <w:t>9、电源 AC 100-240V,50Hz-60Hz；DC 12V，功耗≥60W；</w:t>
            </w:r>
          </w:p>
        </w:tc>
        <w:tc>
          <w:tcPr>
            <w:tcW w:w="76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2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视频会议摄像机</w:t>
            </w:r>
          </w:p>
        </w:tc>
        <w:tc>
          <w:tcPr>
            <w:tcW w:w="7474" w:type="dxa"/>
            <w:noWrap w:val="0"/>
            <w:vAlign w:val="center"/>
          </w:tcPr>
          <w:p>
            <w:pPr>
              <w:widowControl/>
              <w:jc w:val="left"/>
              <w:textAlignment w:val="center"/>
              <w:rPr>
                <w:rFonts w:hint="eastAsia"/>
              </w:rPr>
            </w:pPr>
            <w:r>
              <w:rPr>
                <w:rFonts w:hint="eastAsia"/>
              </w:rPr>
              <w:t>1、图像传感器：1/3英寸CMOS成像芯片；</w:t>
            </w:r>
          </w:p>
          <w:p>
            <w:pPr>
              <w:widowControl/>
              <w:jc w:val="left"/>
              <w:textAlignment w:val="center"/>
              <w:rPr>
                <w:rFonts w:hint="eastAsia"/>
              </w:rPr>
            </w:pPr>
            <w:r>
              <w:rPr>
                <w:rFonts w:hint="eastAsia"/>
              </w:rPr>
              <w:t>2、视像分辨率：1080p 50/60，1080p 25/30，1080i 50/60，1080p 25/30，720p 50/60；</w:t>
            </w:r>
          </w:p>
          <w:p>
            <w:pPr>
              <w:widowControl/>
              <w:jc w:val="left"/>
              <w:textAlignment w:val="center"/>
              <w:rPr>
                <w:rFonts w:hint="eastAsia"/>
              </w:rPr>
            </w:pPr>
            <w:r>
              <w:rPr>
                <w:rFonts w:hint="eastAsia"/>
              </w:rPr>
              <w:t>3、最低照度：2lux（50IRE，F1.8）；</w:t>
            </w:r>
          </w:p>
          <w:p>
            <w:pPr>
              <w:widowControl/>
              <w:jc w:val="left"/>
              <w:textAlignment w:val="center"/>
              <w:rPr>
                <w:rFonts w:hint="eastAsia"/>
                <w:color w:val="auto"/>
              </w:rPr>
            </w:pPr>
            <w:r>
              <w:rPr>
                <w:rFonts w:hint="eastAsia"/>
              </w:rPr>
              <w:t>4</w:t>
            </w:r>
            <w:r>
              <w:rPr>
                <w:rFonts w:hint="eastAsia"/>
                <w:color w:val="auto"/>
              </w:rPr>
              <w:t>、变焦倍数：不低于12倍光学变焦+12倍数字变焦；</w:t>
            </w:r>
          </w:p>
          <w:p>
            <w:pPr>
              <w:widowControl/>
              <w:jc w:val="left"/>
              <w:textAlignment w:val="center"/>
              <w:rPr>
                <w:rFonts w:hint="eastAsia"/>
                <w:color w:val="auto"/>
              </w:rPr>
            </w:pPr>
            <w:r>
              <w:rPr>
                <w:rFonts w:hint="eastAsia"/>
                <w:color w:val="auto"/>
              </w:rPr>
              <w:t>5、镜头焦距：F=3.9-46.8mm；</w:t>
            </w:r>
          </w:p>
          <w:p>
            <w:pPr>
              <w:widowControl/>
              <w:jc w:val="left"/>
              <w:textAlignment w:val="center"/>
              <w:rPr>
                <w:rFonts w:hint="eastAsia"/>
                <w:color w:val="auto"/>
              </w:rPr>
            </w:pPr>
            <w:r>
              <w:rPr>
                <w:rFonts w:hint="eastAsia"/>
                <w:color w:val="auto"/>
              </w:rPr>
              <w:t>6、视频输出接口：1个Endpoint接口，可转成DVI-I；</w:t>
            </w:r>
          </w:p>
          <w:p>
            <w:pPr>
              <w:widowControl/>
              <w:jc w:val="left"/>
              <w:textAlignment w:val="center"/>
              <w:rPr>
                <w:rFonts w:hint="eastAsia"/>
                <w:color w:val="auto"/>
              </w:rPr>
            </w:pPr>
            <w:r>
              <w:rPr>
                <w:rFonts w:hint="eastAsia"/>
                <w:color w:val="auto"/>
              </w:rPr>
              <w:t>7、控制接口：1个RS232；</w:t>
            </w:r>
          </w:p>
          <w:p>
            <w:pPr>
              <w:jc w:val="left"/>
              <w:textAlignment w:val="center"/>
              <w:rPr>
                <w:rFonts w:hint="eastAsia"/>
              </w:rPr>
            </w:pPr>
            <w:r>
              <w:rPr>
                <w:rFonts w:hint="eastAsia"/>
                <w:color w:val="auto"/>
                <w:kern w:val="0"/>
                <w:sz w:val="24"/>
                <w:szCs w:val="24"/>
                <w:lang w:val="en-US" w:eastAsia="zh-CN"/>
              </w:rPr>
              <w:t>8</w:t>
            </w:r>
            <w:r>
              <w:rPr>
                <w:rFonts w:hint="eastAsia"/>
                <w:color w:val="auto"/>
                <w:kern w:val="0"/>
                <w:sz w:val="24"/>
                <w:szCs w:val="24"/>
              </w:rPr>
              <w:t>、所投产品必须与高清视频会议终端同一品牌。</w:t>
            </w:r>
          </w:p>
        </w:tc>
        <w:tc>
          <w:tcPr>
            <w:tcW w:w="763" w:type="dxa"/>
            <w:noWrap w:val="0"/>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2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数据线</w:t>
            </w:r>
          </w:p>
        </w:tc>
        <w:tc>
          <w:tcPr>
            <w:tcW w:w="7474" w:type="dxa"/>
            <w:noWrap w:val="0"/>
            <w:vAlign w:val="center"/>
          </w:tcPr>
          <w:p>
            <w:pPr>
              <w:widowControl/>
              <w:jc w:val="left"/>
              <w:textAlignment w:val="center"/>
              <w:rPr>
                <w:rFonts w:hint="eastAsia" w:ascii="宋体" w:hAnsi="宋体" w:cs="宋体"/>
                <w:kern w:val="0"/>
                <w:sz w:val="24"/>
                <w:szCs w:val="24"/>
                <w:lang w:bidi="ar"/>
              </w:rPr>
            </w:pPr>
            <w:r>
              <w:rPr>
                <w:rFonts w:ascii="宋体" w:hAnsi="宋体" w:cs="宋体"/>
                <w:kern w:val="0"/>
                <w:sz w:val="24"/>
                <w:szCs w:val="24"/>
                <w:lang w:bidi="ar"/>
              </w:rPr>
              <w:t>1</w:t>
            </w:r>
            <w:r>
              <w:rPr>
                <w:rFonts w:hint="eastAsia" w:ascii="宋体" w:hAnsi="宋体" w:cs="宋体"/>
                <w:kern w:val="0"/>
                <w:sz w:val="24"/>
                <w:szCs w:val="24"/>
                <w:lang w:bidi="ar"/>
              </w:rPr>
              <w:t>、</w:t>
            </w:r>
            <w:r>
              <w:rPr>
                <w:rFonts w:ascii="宋体" w:hAnsi="宋体" w:cs="宋体"/>
                <w:kern w:val="0"/>
                <w:sz w:val="24"/>
                <w:szCs w:val="24"/>
                <w:lang w:bidi="ar"/>
              </w:rPr>
              <w:t>HD-VI</w:t>
            </w:r>
            <w:r>
              <w:rPr>
                <w:rFonts w:hint="eastAsia" w:ascii="宋体" w:hAnsi="宋体" w:cs="宋体"/>
                <w:kern w:val="0"/>
                <w:sz w:val="24"/>
                <w:szCs w:val="24"/>
                <w:lang w:bidi="ar"/>
              </w:rPr>
              <w:t>摄像机连接线，链接视频会议终端与摄像机使用。</w:t>
            </w:r>
          </w:p>
        </w:tc>
        <w:tc>
          <w:tcPr>
            <w:tcW w:w="76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条</w:t>
            </w:r>
          </w:p>
        </w:tc>
        <w:tc>
          <w:tcPr>
            <w:tcW w:w="739"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交换机</w:t>
            </w:r>
          </w:p>
        </w:tc>
        <w:tc>
          <w:tcPr>
            <w:tcW w:w="7474" w:type="dxa"/>
            <w:noWrap w:val="0"/>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千兆8口自适应以太网交换机</w:t>
            </w:r>
          </w:p>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防雷等级≥4KV</w:t>
            </w:r>
          </w:p>
        </w:tc>
        <w:tc>
          <w:tcPr>
            <w:tcW w:w="76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kern w:val="0"/>
                <w:sz w:val="32"/>
                <w:szCs w:val="32"/>
                <w:lang w:bidi="ar"/>
              </w:rPr>
            </w:pPr>
            <w:r>
              <w:rPr>
                <w:rFonts w:hint="eastAsia" w:ascii="宋体" w:hAnsi="宋体" w:cs="宋体"/>
                <w:b/>
                <w:bCs/>
                <w:kern w:val="0"/>
                <w:sz w:val="28"/>
                <w:szCs w:val="28"/>
                <w:lang w:bidi="ar"/>
              </w:rPr>
              <w:t>（二）、显示系统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 w:type="dxa"/>
            <w:noWrap w:val="0"/>
            <w:vAlign w:val="center"/>
          </w:tcPr>
          <w:p>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序号</w:t>
            </w:r>
          </w:p>
        </w:tc>
        <w:tc>
          <w:tcPr>
            <w:tcW w:w="705" w:type="dxa"/>
            <w:noWrap w:val="0"/>
            <w:vAlign w:val="center"/>
          </w:tcPr>
          <w:p>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名称</w:t>
            </w:r>
          </w:p>
        </w:tc>
        <w:tc>
          <w:tcPr>
            <w:tcW w:w="7474" w:type="dxa"/>
            <w:noWrap w:val="0"/>
            <w:vAlign w:val="center"/>
          </w:tcPr>
          <w:p>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技术参数</w:t>
            </w:r>
          </w:p>
        </w:tc>
        <w:tc>
          <w:tcPr>
            <w:tcW w:w="763" w:type="dxa"/>
            <w:noWrap w:val="0"/>
            <w:vAlign w:val="center"/>
          </w:tcPr>
          <w:p>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单位</w:t>
            </w:r>
          </w:p>
        </w:tc>
        <w:tc>
          <w:tcPr>
            <w:tcW w:w="739" w:type="dxa"/>
            <w:noWrap w:val="0"/>
            <w:vAlign w:val="center"/>
          </w:tcPr>
          <w:p>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投影机</w:t>
            </w:r>
          </w:p>
        </w:tc>
        <w:tc>
          <w:tcPr>
            <w:tcW w:w="7474" w:type="dxa"/>
            <w:noWrap w:val="0"/>
            <w:vAlign w:val="top"/>
          </w:tcPr>
          <w:p>
            <w:pPr>
              <w:widowControl/>
              <w:textAlignment w:val="top"/>
              <w:rPr>
                <w:rFonts w:hint="eastAsia"/>
              </w:rPr>
            </w:pPr>
            <w:r>
              <w:rPr>
                <w:rFonts w:hint="eastAsia"/>
              </w:rPr>
              <w:t>★1、投影技术；DMD芯片尺寸≥0.65英寸，6色段色轮技术；</w:t>
            </w:r>
            <w:r>
              <w:rPr>
                <w:rFonts w:hint="eastAsia"/>
              </w:rPr>
              <w:br w:type="textWrapping"/>
            </w:r>
            <w:r>
              <w:rPr>
                <w:rFonts w:hint="eastAsia"/>
              </w:rPr>
              <w:t>★2、亮度≥5500流明；</w:t>
            </w:r>
            <w:r>
              <w:rPr>
                <w:rFonts w:hint="eastAsia"/>
              </w:rPr>
              <w:br w:type="textWrapping"/>
            </w:r>
            <w:r>
              <w:rPr>
                <w:rFonts w:hint="eastAsia"/>
              </w:rPr>
              <w:t>3、对比度≥2000000:1；</w:t>
            </w:r>
            <w:r>
              <w:rPr>
                <w:rFonts w:hint="eastAsia"/>
              </w:rPr>
              <w:br w:type="textWrapping"/>
            </w:r>
            <w:r>
              <w:rPr>
                <w:rFonts w:hint="eastAsia"/>
              </w:rPr>
              <w:t>4、标准分辨率≥1080P（1920*1080）；宽屏自适应支持所有显示分辨率（具备4K HDR接口）；</w:t>
            </w:r>
            <w:r>
              <w:rPr>
                <w:rFonts w:hint="eastAsia"/>
              </w:rPr>
              <w:br w:type="textWrapping"/>
            </w:r>
            <w:r>
              <w:rPr>
                <w:rFonts w:hint="eastAsia"/>
              </w:rPr>
              <w:t>5、兼容网络中控，可实现远程对投影机开关机，信号源，设备诊断，设置电子邮件报警功能等控制；</w:t>
            </w:r>
            <w:r>
              <w:rPr>
                <w:rFonts w:hint="eastAsia"/>
              </w:rPr>
              <w:br w:type="textWrapping"/>
            </w:r>
            <w:r>
              <w:rPr>
                <w:rFonts w:hint="eastAsia"/>
              </w:rPr>
              <w:t>6、激光光源，寿命≥30000小时；</w:t>
            </w:r>
            <w:r>
              <w:rPr>
                <w:rFonts w:hint="eastAsia"/>
              </w:rPr>
              <w:br w:type="textWrapping"/>
            </w:r>
            <w:r>
              <w:rPr>
                <w:rFonts w:hint="eastAsia"/>
              </w:rPr>
              <w:t>7、重量≥6Kg</w:t>
            </w:r>
            <w:r>
              <w:rPr>
                <w:rFonts w:hint="eastAsia"/>
              </w:rPr>
              <w:br w:type="textWrapping"/>
            </w:r>
            <w:r>
              <w:rPr>
                <w:rFonts w:hint="eastAsia"/>
              </w:rPr>
              <w:t>8、支持蓝光DLP 3D技术，并支持人像模式；</w:t>
            </w:r>
            <w:r>
              <w:rPr>
                <w:rFonts w:hint="eastAsia"/>
              </w:rPr>
              <w:br w:type="textWrapping"/>
            </w:r>
            <w:r>
              <w:rPr>
                <w:rFonts w:hint="eastAsia"/>
              </w:rPr>
              <w:t>9、内置20W扬声器；</w:t>
            </w:r>
            <w:r>
              <w:rPr>
                <w:rFonts w:hint="eastAsia"/>
              </w:rPr>
              <w:br w:type="textWrapping"/>
            </w:r>
            <w:r>
              <w:rPr>
                <w:rFonts w:hint="eastAsia"/>
              </w:rPr>
              <w:t>10、支持镜头垂直位移，水平、四角梯形校正，360度安装，1.6倍变焦，</w:t>
            </w:r>
            <w:r>
              <w:rPr>
                <w:rFonts w:hint="eastAsia"/>
              </w:rPr>
              <w:br w:type="textWrapping"/>
            </w:r>
            <w:r>
              <w:rPr>
                <w:rFonts w:hint="eastAsia"/>
              </w:rPr>
              <w:t>11、选配无线模块可支持无线传输蓝光3D；</w:t>
            </w:r>
            <w:r>
              <w:rPr>
                <w:rFonts w:hint="eastAsia"/>
              </w:rPr>
              <w:br w:type="textWrapping"/>
            </w:r>
            <w:r>
              <w:rPr>
                <w:rFonts w:hint="eastAsia"/>
              </w:rPr>
              <w:t>12、支持±30°垂直梯形校正</w:t>
            </w:r>
            <w:r>
              <w:rPr>
                <w:rFonts w:hint="eastAsia"/>
              </w:rPr>
              <w:br w:type="textWrapping"/>
            </w:r>
            <w:r>
              <w:rPr>
                <w:rFonts w:hint="eastAsia"/>
              </w:rPr>
              <w:t>13、接口：Analog RGBx 2；Composite Video (RCA) x 1；HDMI/MHL；</w:t>
            </w:r>
            <w:r>
              <w:rPr>
                <w:rFonts w:hint="eastAsia"/>
              </w:rPr>
              <w:br w:type="textWrapping"/>
            </w:r>
            <w:r>
              <w:rPr>
                <w:rFonts w:hint="eastAsia"/>
              </w:rPr>
              <w:t>14.采用动态黑位技术画面；</w:t>
            </w:r>
            <w:r>
              <w:rPr>
                <w:rFonts w:hint="eastAsia"/>
              </w:rPr>
              <w:br w:type="textWrapping"/>
            </w:r>
            <w:r>
              <w:rPr>
                <w:rFonts w:hint="eastAsia"/>
              </w:rPr>
              <w:t>15、LumiSense 自动感应技术，满足各种光线效果；</w:t>
            </w:r>
            <w:r>
              <w:rPr>
                <w:rFonts w:hint="eastAsia"/>
              </w:rPr>
              <w:br w:type="textWrapping"/>
            </w:r>
            <w:r>
              <w:rPr>
                <w:rFonts w:hint="eastAsia"/>
              </w:rPr>
              <w:t>16、具有蓝光盾技术，保护眼睛；</w:t>
            </w:r>
            <w:r>
              <w:rPr>
                <w:rFonts w:hint="eastAsia"/>
              </w:rPr>
              <w:br w:type="textWrapping"/>
            </w:r>
            <w:r>
              <w:rPr>
                <w:rFonts w:hint="eastAsia"/>
              </w:rPr>
              <w:t>17、运用动态RGB增益提升色彩显示效果。</w:t>
            </w:r>
            <w:r>
              <w:rPr>
                <w:rFonts w:hint="eastAsia"/>
              </w:rPr>
              <w:br w:type="textWrapping"/>
            </w:r>
            <w:r>
              <w:rPr>
                <w:rFonts w:hint="eastAsia"/>
              </w:rPr>
              <w:t>18、内置重力感应装置，自动侦测并将图像翻转180度。</w:t>
            </w:r>
            <w:r>
              <w:rPr>
                <w:rFonts w:hint="eastAsia"/>
              </w:rPr>
              <w:br w:type="textWrapping"/>
            </w:r>
            <w:r>
              <w:rPr>
                <w:rFonts w:hint="eastAsia"/>
              </w:rPr>
              <w:t>19、即插即拔，即时关机；</w:t>
            </w:r>
            <w:r>
              <w:rPr>
                <w:rFonts w:hint="eastAsia"/>
              </w:rPr>
              <w:br w:type="textWrapping"/>
            </w:r>
            <w:r>
              <w:rPr>
                <w:rFonts w:hint="eastAsia"/>
                <w:strike w:val="0"/>
                <w:dstrike w:val="0"/>
                <w:color w:val="auto"/>
              </w:rPr>
              <w:t>20、提供投标品牌厂家对本项目的授权和售后服务承诺函</w:t>
            </w:r>
            <w:r>
              <w:rPr>
                <w:rFonts w:hint="eastAsia"/>
                <w:strike w:val="0"/>
                <w:dstrike w:val="0"/>
                <w:color w:val="auto"/>
              </w:rPr>
              <w:br w:type="textWrapping"/>
            </w:r>
            <w:r>
              <w:rPr>
                <w:rFonts w:hint="eastAsia"/>
                <w:strike w:val="0"/>
                <w:dstrike w:val="0"/>
                <w:color w:val="auto"/>
              </w:rPr>
              <w:t>21、提供所投产品技术参数证明函并加盖厂家公章。</w:t>
            </w:r>
            <w:r>
              <w:rPr>
                <w:rFonts w:hint="eastAsia"/>
                <w:strike w:val="0"/>
                <w:dstrike w:val="0"/>
                <w:color w:val="auto"/>
              </w:rPr>
              <w:br w:type="textWrapping"/>
            </w:r>
            <w:r>
              <w:rPr>
                <w:rFonts w:hint="eastAsia"/>
                <w:strike w:val="0"/>
                <w:dstrike w:val="0"/>
                <w:color w:val="auto"/>
              </w:rPr>
              <w:t>22、提供投标型号的3C认证，节能环保认证</w:t>
            </w:r>
            <w:r>
              <w:rPr>
                <w:rFonts w:hint="eastAsia"/>
                <w:strike w:val="0"/>
                <w:dstrike w:val="0"/>
                <w:color w:val="auto"/>
              </w:rPr>
              <w:br w:type="textWrapping"/>
            </w:r>
            <w:r>
              <w:rPr>
                <w:rFonts w:hint="eastAsia"/>
                <w:strike w:val="0"/>
                <w:dstrike w:val="0"/>
                <w:color w:val="auto"/>
              </w:rPr>
              <w:t>23、提供所投设备生产厂商的信息安全认证证书</w:t>
            </w:r>
            <w:r>
              <w:rPr>
                <w:rFonts w:hint="eastAsia"/>
                <w:strike w:val="0"/>
                <w:dstrike w:val="0"/>
                <w:color w:val="auto"/>
              </w:rPr>
              <w:br w:type="textWrapping"/>
            </w:r>
            <w:r>
              <w:rPr>
                <w:rFonts w:hint="eastAsia"/>
                <w:strike w:val="0"/>
                <w:dstrike w:val="0"/>
                <w:color w:val="auto"/>
              </w:rPr>
              <w:t>24、提供激光机IP6X防尘认证证书</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电动幕布</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自动升降幕布壁挂幕布 150英寸16:9</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投影机支架</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根据现场实际情况定制</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电脑</w:t>
            </w:r>
          </w:p>
        </w:tc>
        <w:tc>
          <w:tcPr>
            <w:tcW w:w="7474" w:type="dxa"/>
            <w:noWrap w:val="0"/>
            <w:vAlign w:val="top"/>
          </w:tcPr>
          <w:p>
            <w:pPr>
              <w:widowControl/>
              <w:textAlignment w:val="top"/>
              <w:rPr>
                <w:rFonts w:hint="eastAsia" w:ascii="宋体" w:hAnsi="宋体" w:cs="宋体"/>
                <w:kern w:val="0"/>
                <w:sz w:val="24"/>
                <w:szCs w:val="24"/>
                <w:lang w:bidi="ar"/>
              </w:rPr>
            </w:pPr>
            <w:r>
              <w:rPr>
                <w:rFonts w:hint="eastAsia" w:ascii="宋体" w:hAnsi="宋体" w:cs="宋体"/>
                <w:kern w:val="0"/>
                <w:sz w:val="24"/>
                <w:szCs w:val="24"/>
                <w:lang w:bidi="ar"/>
              </w:rPr>
              <w:t>i5-10400 8G 1T wifi win10 21.45英寸 含键鼠套装</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电视机</w:t>
            </w:r>
          </w:p>
        </w:tc>
        <w:tc>
          <w:tcPr>
            <w:tcW w:w="7474" w:type="dxa"/>
            <w:noWrap w:val="0"/>
            <w:vAlign w:val="center"/>
          </w:tcPr>
          <w:p>
            <w:pPr>
              <w:widowControl/>
              <w:textAlignment w:val="top"/>
              <w:rPr>
                <w:rFonts w:hint="default" w:ascii="宋体" w:hAnsi="宋体" w:eastAsia="宋体" w:cs="宋体"/>
                <w:sz w:val="24"/>
                <w:szCs w:val="24"/>
                <w:lang w:val="en-US" w:eastAsia="zh-CN"/>
              </w:rPr>
            </w:pPr>
            <w:r>
              <w:rPr>
                <w:rFonts w:hint="eastAsia" w:ascii="宋体" w:hAnsi="宋体" w:cs="宋体"/>
                <w:color w:val="auto"/>
                <w:kern w:val="0"/>
                <w:sz w:val="24"/>
                <w:szCs w:val="24"/>
                <w:lang w:bidi="ar"/>
              </w:rPr>
              <w:t xml:space="preserve">58寸 </w:t>
            </w:r>
            <w:r>
              <w:rPr>
                <w:rFonts w:hint="eastAsia" w:ascii="宋体" w:hAnsi="宋体" w:cs="宋体"/>
                <w:kern w:val="0"/>
                <w:sz w:val="24"/>
                <w:szCs w:val="24"/>
                <w:lang w:bidi="ar"/>
              </w:rPr>
              <w:t>4k分辨率</w:t>
            </w:r>
            <w:r>
              <w:rPr>
                <w:rFonts w:hint="eastAsia" w:cs="宋体"/>
                <w:kern w:val="0"/>
                <w:sz w:val="24"/>
                <w:szCs w:val="24"/>
                <w:lang w:val="en-US" w:eastAsia="zh-CN" w:bidi="ar"/>
              </w:rPr>
              <w:t xml:space="preserve"> </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6</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移动支架</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2套地面落地支架，2套移动推拉支架。</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28"/>
                <w:szCs w:val="28"/>
                <w:lang w:bidi="ar"/>
              </w:rPr>
              <w:t>（三）、矩阵切换系统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无缝高清矩阵切换器</w:t>
            </w:r>
          </w:p>
        </w:tc>
        <w:tc>
          <w:tcPr>
            <w:tcW w:w="7474" w:type="dxa"/>
            <w:noWrap w:val="0"/>
            <w:vAlign w:val="top"/>
          </w:tcPr>
          <w:p>
            <w:pPr>
              <w:widowControl/>
              <w:numPr>
                <w:ilvl w:val="0"/>
                <w:numId w:val="18"/>
              </w:numPr>
              <w:textAlignment w:val="top"/>
              <w:rPr>
                <w:rFonts w:hint="eastAsia" w:eastAsia="宋体"/>
                <w:lang w:val="en-US" w:eastAsia="zh-CN"/>
              </w:rPr>
            </w:pPr>
            <w:r>
              <w:rPr>
                <w:rFonts w:hint="eastAsia"/>
              </w:rPr>
              <w:t>矩阵采用纯硬件标准化机箱设计，支持配置8×8路信号切换，支持HDMI、DVI、VGA、SDI、HDBaseT、光纤的任意输入/输出信号卡，其中DVI输入卡兼容CVBS，YUV,S-VIDEO信号，VGA输入/输出卡均兼容CVBS，YUV,S-VIDEO。</w:t>
            </w:r>
            <w:r>
              <w:rPr>
                <w:rFonts w:hint="eastAsia"/>
              </w:rPr>
              <w:br w:type="textWrapping"/>
            </w:r>
            <w:r>
              <w:rPr>
                <w:rFonts w:hint="eastAsia"/>
              </w:rPr>
              <w:t>2.采用板卡模块化设计，支持接入2块输入卡、2块输出卡、1块控制卡；通过定制配置各类相同或不同的输入输出卡可以组成单一接口类型或多接口类型的矩阵，如HDMI矩阵，DVI矩阵，VGA矩阵，YUV矩阵，Video矩阵等。</w:t>
            </w:r>
            <w:r>
              <w:rPr>
                <w:rFonts w:hint="eastAsia"/>
              </w:rPr>
              <w:br w:type="textWrapping"/>
            </w:r>
            <w:r>
              <w:rPr>
                <w:rFonts w:hint="eastAsia"/>
              </w:rPr>
              <w:t>3.支持无缝切换功能，切换过程无黑屏信号。</w:t>
            </w:r>
            <w:r>
              <w:rPr>
                <w:rFonts w:hint="eastAsia"/>
              </w:rPr>
              <w:br w:type="textWrapping"/>
            </w:r>
            <w:r>
              <w:rPr>
                <w:rFonts w:hint="eastAsia"/>
              </w:rPr>
              <w:t>4.支持1080P分辨率，最大可支持4Kx2K。支持断电记忆功能，免除上电重复设置动作。支持智能温控，控制矩阵风扇的运行；系统内可存储多组预切换指令，调用时可以一键切换。</w:t>
            </w:r>
            <w:r>
              <w:rPr>
                <w:rFonts w:hint="eastAsia"/>
              </w:rPr>
              <w:br w:type="textWrapping"/>
            </w:r>
            <w:r>
              <w:rPr>
                <w:rFonts w:hint="eastAsia"/>
              </w:rPr>
              <w:t>5.支持模拟音频与HDMI内嵌音频选择输入、支持模拟音频与HDMI内嵌音频同时输出。</w:t>
            </w:r>
            <w:r>
              <w:rPr>
                <w:rFonts w:hint="eastAsia"/>
              </w:rPr>
              <w:br w:type="textWrapping"/>
            </w:r>
            <w:r>
              <w:rPr>
                <w:rFonts w:hint="eastAsia"/>
              </w:rPr>
              <w:t>6.支持接入1块控制板卡，具有1路RS-232,1路RS-485,1路TCP/IP端口（PC软件）</w:t>
            </w:r>
            <w:r>
              <w:rPr>
                <w:rFonts w:hint="eastAsia"/>
              </w:rPr>
              <w:br w:type="textWrapping"/>
            </w:r>
            <w:r>
              <w:rPr>
                <w:rFonts w:hint="eastAsia"/>
              </w:rPr>
              <w:t>7.HDBaseT输入输出信号支持双向 RS-232 和双向 IR 信号传输，可对RS-232和IR 信号选择随视频信号切换，或分离切换模式，支持POC对外供电。</w:t>
            </w:r>
            <w:r>
              <w:rPr>
                <w:rFonts w:hint="eastAsia"/>
              </w:rPr>
              <w:br w:type="textWrapping"/>
            </w:r>
            <w:r>
              <w:rPr>
                <w:rFonts w:hint="eastAsia"/>
              </w:rPr>
              <w:t>8.支持KVM坐席管理功能，通过一套键盘鼠标显示器切换、管理多台计算机设备。</w:t>
            </w:r>
            <w:r>
              <w:rPr>
                <w:rFonts w:hint="eastAsia"/>
              </w:rPr>
              <w:br w:type="textWrapping"/>
            </w:r>
            <w:r>
              <w:rPr>
                <w:rFonts w:hint="eastAsia"/>
                <w:strike w:val="0"/>
                <w:dstrike w:val="0"/>
                <w:color w:val="auto"/>
              </w:rPr>
              <w:t>★投标时须提供具有</w:t>
            </w:r>
            <w:r>
              <w:rPr>
                <w:strike w:val="0"/>
                <w:dstrike w:val="0"/>
                <w:color w:val="auto"/>
              </w:rPr>
              <w:t>CNAS</w:t>
            </w:r>
            <w:r>
              <w:rPr>
                <w:rFonts w:hint="eastAsia"/>
                <w:strike w:val="0"/>
                <w:dstrike w:val="0"/>
                <w:color w:val="auto"/>
              </w:rPr>
              <w:t>、</w:t>
            </w:r>
            <w:r>
              <w:rPr>
                <w:strike w:val="0"/>
                <w:dstrike w:val="0"/>
                <w:color w:val="auto"/>
              </w:rPr>
              <w:t>CMA</w:t>
            </w:r>
            <w:r>
              <w:rPr>
                <w:rFonts w:hint="eastAsia"/>
                <w:strike w:val="0"/>
                <w:dstrike w:val="0"/>
                <w:color w:val="auto"/>
              </w:rPr>
              <w:t>、ilac</w:t>
            </w:r>
            <w:r>
              <w:rPr>
                <w:strike w:val="0"/>
                <w:dstrike w:val="0"/>
                <w:color w:val="auto"/>
              </w:rPr>
              <w:t>-MRA</w:t>
            </w:r>
            <w:r>
              <w:rPr>
                <w:rFonts w:hint="eastAsia"/>
                <w:strike w:val="0"/>
                <w:dstrike w:val="0"/>
                <w:color w:val="auto"/>
              </w:rPr>
              <w:t>标识的第三方正规权威检验机构出具的产品检验报告复印件并加盖生产厂商公章（检验报告内容必须满足上述1-8参数功能要求）。</w:t>
            </w:r>
            <w:r>
              <w:rPr>
                <w:rFonts w:hint="eastAsia"/>
                <w:strike/>
                <w:dstrike w:val="0"/>
              </w:rPr>
              <w:t xml:space="preserve"> </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高清无缝混插矩阵切换内嵌软件</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1.软件内嵌于高清混插矩阵切换系统，实现各类高清晰数字/模拟信号的处理、切换等功能。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2.处理能力</w:t>
            </w: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920×1080P@60Hz。</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3.支持信号无缝切换，切换过程无黑屏信号。</w:t>
            </w:r>
            <w:r>
              <w:rPr>
                <w:rFonts w:hint="eastAsia" w:ascii="宋体" w:hAnsi="宋体" w:cs="宋体"/>
                <w:kern w:val="0"/>
                <w:sz w:val="24"/>
                <w:szCs w:val="24"/>
                <w:lang w:bidi="ar"/>
              </w:rPr>
              <w:br w:type="textWrapping"/>
            </w:r>
            <w:r>
              <w:rPr>
                <w:rFonts w:hint="eastAsia" w:ascii="宋体" w:hAnsi="宋体" w:cs="宋体"/>
                <w:kern w:val="0"/>
                <w:sz w:val="24"/>
                <w:szCs w:val="24"/>
                <w:lang w:bidi="ar"/>
              </w:rPr>
              <w:t>4.支持通过专业的PC上位机管理软件控制。</w:t>
            </w:r>
            <w:r>
              <w:rPr>
                <w:rFonts w:hint="eastAsia" w:ascii="宋体" w:hAnsi="宋体" w:cs="宋体"/>
                <w:kern w:val="0"/>
                <w:sz w:val="24"/>
                <w:szCs w:val="24"/>
                <w:lang w:bidi="ar"/>
              </w:rPr>
              <w:br w:type="textWrapping"/>
            </w:r>
            <w:r>
              <w:rPr>
                <w:rFonts w:hint="eastAsia" w:ascii="宋体" w:hAnsi="宋体" w:cs="宋体"/>
                <w:kern w:val="0"/>
                <w:sz w:val="24"/>
                <w:szCs w:val="24"/>
                <w:lang w:bidi="ar"/>
              </w:rPr>
              <w:t>5.通过矩阵切换信号或通过软件切换信号。</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嵌入式控制面板</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1.支持由矩阵主机远程供电，无需配独立适配器。</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2.支持编程图片、图形、文字、按键等更具人性化的界面。</w:t>
            </w:r>
            <w:r>
              <w:rPr>
                <w:rFonts w:hint="eastAsia" w:ascii="宋体" w:hAnsi="宋体" w:cs="宋体"/>
                <w:kern w:val="0"/>
                <w:sz w:val="24"/>
                <w:szCs w:val="24"/>
                <w:lang w:bidi="ar"/>
              </w:rPr>
              <w:br w:type="textWrapping"/>
            </w:r>
            <w:r>
              <w:rPr>
                <w:rFonts w:hint="eastAsia" w:ascii="宋体" w:hAnsi="宋体" w:cs="宋体"/>
                <w:kern w:val="0"/>
                <w:sz w:val="24"/>
                <w:szCs w:val="24"/>
                <w:lang w:bidi="ar"/>
              </w:rPr>
              <w:t>3.面板显示屏尺寸≥3.5英寸，TFT液晶屏。</w:t>
            </w:r>
            <w:r>
              <w:rPr>
                <w:rFonts w:hint="eastAsia" w:ascii="宋体" w:hAnsi="宋体" w:cs="宋体"/>
                <w:kern w:val="0"/>
                <w:sz w:val="24"/>
                <w:szCs w:val="24"/>
                <w:lang w:bidi="ar"/>
              </w:rPr>
              <w:br w:type="textWrapping"/>
            </w:r>
            <w:r>
              <w:rPr>
                <w:rFonts w:hint="eastAsia" w:ascii="宋体" w:hAnsi="宋体" w:cs="宋体"/>
                <w:kern w:val="0"/>
                <w:sz w:val="24"/>
                <w:szCs w:val="24"/>
                <w:lang w:bidi="ar"/>
              </w:rPr>
              <w:t>4.分辨率支持≥320*240。</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HDMI无缝高清输入卡</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1.支持4路HDMI-A母接口和3.5mm音频座，支持模拟音频与HDMI内嵌音频选择输入；支持热插拔。</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2.支持快速无缝切换，无闪烁，无黑屏。</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3.支持断电现场切换记忆保护功能，特有ESD静电保护功能。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4.兼容HDMI1.3a的标准，HDCP1.3协议，DVI1.0协议。最大支持分辨率不低于1920X1200P@60。 </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高清矩阵输入板卡内嵌软件</w:t>
            </w:r>
          </w:p>
        </w:tc>
        <w:tc>
          <w:tcPr>
            <w:tcW w:w="7474" w:type="dxa"/>
            <w:noWrap w:val="0"/>
            <w:vAlign w:val="center"/>
          </w:tcPr>
          <w:p>
            <w:pPr>
              <w:widowControl/>
              <w:jc w:val="left"/>
              <w:textAlignment w:val="top"/>
              <w:rPr>
                <w:rFonts w:hint="eastAsia" w:ascii="宋体" w:hAnsi="宋体" w:cs="宋体"/>
                <w:sz w:val="24"/>
                <w:szCs w:val="24"/>
              </w:rPr>
            </w:pPr>
            <w:r>
              <w:rPr>
                <w:rFonts w:hint="eastAsia" w:ascii="宋体" w:hAnsi="宋体" w:cs="宋体"/>
                <w:kern w:val="0"/>
                <w:sz w:val="24"/>
                <w:szCs w:val="24"/>
                <w:lang w:bidi="ar"/>
              </w:rPr>
              <w:t>1.软件内嵌于高清矩阵系统板卡设备，实现信号的处理功能。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2.处理能力≥</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920×1080P@60Hz。</w:t>
            </w:r>
            <w:r>
              <w:rPr>
                <w:rFonts w:hint="eastAsia" w:ascii="宋体" w:hAnsi="宋体" w:cs="宋体"/>
                <w:kern w:val="0"/>
                <w:sz w:val="24"/>
                <w:szCs w:val="24"/>
                <w:lang w:bidi="ar"/>
              </w:rPr>
              <w:br w:type="textWrapping"/>
            </w:r>
            <w:r>
              <w:rPr>
                <w:rFonts w:hint="eastAsia" w:ascii="宋体" w:hAnsi="宋体" w:cs="宋体"/>
                <w:kern w:val="0"/>
                <w:sz w:val="24"/>
                <w:szCs w:val="24"/>
                <w:lang w:bidi="ar"/>
              </w:rPr>
              <w:t>3.通过矩阵切换信号或通过软件切换信号。</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6</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HDMI无缝高清输出卡</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1.支持4路HDMI-A母接口和3.5mm音频座，支持模拟音频与HDMI内嵌音频同时输出。支持热插拔。</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2.支持快速无缝切换，无闪烁，无黑屏。</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3.支持断电现场切换记忆保护功能，特有ESD静电保护功能。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4.兼容HDMI1.3a的标准，HDCP1.3协议，DVI1.0协议。支持倍线功能，最高分辨率支持1080P。</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7</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高清HDMI矩阵输出板卡内嵌软件</w:t>
            </w:r>
          </w:p>
        </w:tc>
        <w:tc>
          <w:tcPr>
            <w:tcW w:w="7474" w:type="dxa"/>
            <w:noWrap w:val="0"/>
            <w:vAlign w:val="center"/>
          </w:tcPr>
          <w:p>
            <w:pPr>
              <w:widowControl/>
              <w:jc w:val="left"/>
              <w:textAlignment w:val="top"/>
              <w:rPr>
                <w:rFonts w:hint="eastAsia" w:ascii="宋体" w:hAnsi="宋体" w:cs="宋体"/>
                <w:sz w:val="24"/>
                <w:szCs w:val="24"/>
              </w:rPr>
            </w:pPr>
            <w:r>
              <w:rPr>
                <w:rFonts w:hint="eastAsia" w:ascii="宋体" w:hAnsi="宋体" w:cs="宋体"/>
                <w:kern w:val="0"/>
                <w:sz w:val="24"/>
                <w:szCs w:val="24"/>
                <w:lang w:bidi="ar"/>
              </w:rPr>
              <w:t>1.软件内嵌于高清矩阵系统板卡设备，实现信号的处理功能。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2.支持分辨率高达1920×1080P@60Hz的处理能力。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3.通过矩阵切换信号或通过软件切换信号。</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28"/>
                <w:szCs w:val="28"/>
                <w:lang w:bidi="ar"/>
              </w:rPr>
              <w:t>（四）、集中控制系统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网络中控主机</w:t>
            </w:r>
          </w:p>
        </w:tc>
        <w:tc>
          <w:tcPr>
            <w:tcW w:w="7474" w:type="dxa"/>
            <w:noWrap w:val="0"/>
            <w:vAlign w:val="top"/>
          </w:tcPr>
          <w:p>
            <w:pPr>
              <w:widowControl/>
              <w:jc w:val="left"/>
              <w:textAlignment w:val="top"/>
              <w:rPr>
                <w:sz w:val="24"/>
                <w:szCs w:val="24"/>
              </w:rPr>
            </w:pPr>
            <w:r>
              <w:rPr>
                <w:rFonts w:hint="eastAsia"/>
                <w:sz w:val="24"/>
                <w:szCs w:val="24"/>
              </w:rPr>
              <w:t>采用标准19英寸机柜设计，面板具有指示灯，可直观反馈串口、红外、设备的工作状态；支持通过IOS平台/安卓平台等移动设备终端进行集中式管控。</w:t>
            </w:r>
            <w:r>
              <w:rPr>
                <w:rFonts w:hint="eastAsia"/>
                <w:sz w:val="24"/>
                <w:szCs w:val="24"/>
              </w:rPr>
              <w:br w:type="textWrapping"/>
            </w:r>
            <w:r>
              <w:rPr>
                <w:rFonts w:hint="eastAsia"/>
                <w:sz w:val="24"/>
                <w:szCs w:val="24"/>
              </w:rPr>
              <w:t>2.面板有≥4.3英寸触摸彩屏，可查看IP地址、修改IP地址。具备1路TF卡接口，实现项目中的程序导入或导出。</w:t>
            </w:r>
            <w:r>
              <w:rPr>
                <w:rFonts w:hint="eastAsia"/>
                <w:sz w:val="24"/>
                <w:szCs w:val="24"/>
              </w:rPr>
              <w:br w:type="textWrapping"/>
            </w:r>
            <w:r>
              <w:rPr>
                <w:rFonts w:hint="eastAsia"/>
                <w:sz w:val="24"/>
                <w:szCs w:val="24"/>
              </w:rPr>
              <w:t>3.支持不同操作端对中控进行管控，支持操作状态双向反馈功能，对设备的控制执行状态可一目了然。支持多台网络中控主机实现级联控制，达到互联、互控的效果。</w:t>
            </w:r>
            <w:r>
              <w:rPr>
                <w:rFonts w:hint="eastAsia"/>
                <w:sz w:val="24"/>
                <w:szCs w:val="24"/>
              </w:rPr>
              <w:br w:type="textWrapping"/>
            </w:r>
            <w:r>
              <w:rPr>
                <w:rFonts w:hint="eastAsia"/>
                <w:sz w:val="24"/>
                <w:szCs w:val="24"/>
              </w:rPr>
              <w:t>4.采用可编程控制平台，交互式的控制机构，中英文可编程界面。全面支持第三方设备及控制协议，支持用户自定义编程设置任何控制协议或者控制代码。</w:t>
            </w:r>
            <w:r>
              <w:rPr>
                <w:rFonts w:hint="eastAsia"/>
                <w:sz w:val="24"/>
                <w:szCs w:val="24"/>
              </w:rPr>
              <w:br w:type="textWrapping"/>
            </w:r>
            <w:r>
              <w:rPr>
                <w:rFonts w:hint="eastAsia"/>
                <w:sz w:val="24"/>
                <w:szCs w:val="24"/>
              </w:rPr>
              <w:t>5.采用32位Cortex-A8 ARM架构内嵌式处理器，处理速度≥7</w:t>
            </w:r>
            <w:r>
              <w:rPr>
                <w:sz w:val="24"/>
                <w:szCs w:val="24"/>
              </w:rPr>
              <w:t>0</w:t>
            </w:r>
            <w:r>
              <w:rPr>
                <w:rFonts w:hint="eastAsia"/>
                <w:sz w:val="24"/>
                <w:szCs w:val="24"/>
              </w:rPr>
              <w:t>0MHz。主机内置≥256MDPR及8GEMMC的大容量FLASH 存储器。</w:t>
            </w:r>
            <w:r>
              <w:rPr>
                <w:rFonts w:hint="eastAsia"/>
                <w:sz w:val="24"/>
                <w:szCs w:val="24"/>
              </w:rPr>
              <w:br w:type="textWrapping"/>
            </w:r>
            <w:r>
              <w:rPr>
                <w:rFonts w:hint="eastAsia"/>
                <w:sz w:val="24"/>
                <w:szCs w:val="24"/>
              </w:rPr>
              <w:t>6.内嵌智能红外学习功能模块，无须配置专业学习器。可导入各种常用的电器设备的红外代码库到主机，并实现控制。支持串口环出功能，主机的8路串口均可实现任意一个输入都可以从另外一个串口环出。</w:t>
            </w:r>
            <w:r>
              <w:rPr>
                <w:rFonts w:hint="eastAsia"/>
                <w:sz w:val="24"/>
                <w:szCs w:val="24"/>
              </w:rPr>
              <w:br w:type="textWrapping"/>
            </w:r>
            <w:r>
              <w:rPr>
                <w:rFonts w:hint="eastAsia"/>
                <w:sz w:val="24"/>
                <w:szCs w:val="24"/>
              </w:rPr>
              <w:t>7.主机具备8路独立可编程串口，可收发RS-232，RS-485及RS-422信号，8路独立可编程IR红外发射口，8路数字I/0输入输出控制口，带保护电路，8路弱电继电器控制接口，1个NET网络控制接口，可做外部功能扩展使用，可并接256个网络设备。</w:t>
            </w:r>
            <w:r>
              <w:rPr>
                <w:rFonts w:hint="eastAsia"/>
                <w:sz w:val="24"/>
                <w:szCs w:val="24"/>
              </w:rPr>
              <w:br w:type="textWrapping"/>
            </w:r>
            <w:r>
              <w:rPr>
                <w:rFonts w:hint="eastAsia"/>
                <w:sz w:val="24"/>
                <w:szCs w:val="24"/>
              </w:rPr>
              <w:t>8.支持全制式环保电源(110V-240V)，适合任何地区。</w:t>
            </w:r>
            <w:r>
              <w:rPr>
                <w:rFonts w:hint="eastAsia"/>
                <w:sz w:val="24"/>
                <w:szCs w:val="24"/>
              </w:rPr>
              <w:br w:type="textWrapping"/>
            </w:r>
            <w:r>
              <w:rPr>
                <w:rFonts w:hint="eastAsia"/>
                <w:sz w:val="24"/>
                <w:szCs w:val="24"/>
              </w:rPr>
              <w:t>★9</w:t>
            </w:r>
            <w:r>
              <w:rPr>
                <w:rFonts w:hint="eastAsia"/>
                <w:strike w:val="0"/>
                <w:dstrike w:val="0"/>
                <w:color w:val="auto"/>
                <w:sz w:val="24"/>
                <w:szCs w:val="24"/>
              </w:rPr>
              <w:t>.投标时须提供具有</w:t>
            </w:r>
            <w:r>
              <w:rPr>
                <w:strike w:val="0"/>
                <w:dstrike w:val="0"/>
                <w:color w:val="auto"/>
                <w:sz w:val="24"/>
                <w:szCs w:val="24"/>
              </w:rPr>
              <w:t>CNAS</w:t>
            </w:r>
            <w:r>
              <w:rPr>
                <w:rFonts w:hint="eastAsia"/>
                <w:strike w:val="0"/>
                <w:dstrike w:val="0"/>
                <w:color w:val="auto"/>
                <w:sz w:val="24"/>
                <w:szCs w:val="24"/>
              </w:rPr>
              <w:t>、</w:t>
            </w:r>
            <w:r>
              <w:rPr>
                <w:strike w:val="0"/>
                <w:dstrike w:val="0"/>
                <w:color w:val="auto"/>
                <w:sz w:val="24"/>
                <w:szCs w:val="24"/>
              </w:rPr>
              <w:t>CMA</w:t>
            </w:r>
            <w:r>
              <w:rPr>
                <w:rFonts w:hint="eastAsia"/>
                <w:strike w:val="0"/>
                <w:dstrike w:val="0"/>
                <w:color w:val="auto"/>
                <w:sz w:val="24"/>
                <w:szCs w:val="24"/>
              </w:rPr>
              <w:t>、ilac</w:t>
            </w:r>
            <w:r>
              <w:rPr>
                <w:strike w:val="0"/>
                <w:dstrike w:val="0"/>
                <w:color w:val="auto"/>
                <w:sz w:val="24"/>
                <w:szCs w:val="24"/>
              </w:rPr>
              <w:t>-MRA</w:t>
            </w:r>
            <w:r>
              <w:rPr>
                <w:rFonts w:hint="eastAsia"/>
                <w:strike w:val="0"/>
                <w:dstrike w:val="0"/>
                <w:color w:val="auto"/>
                <w:sz w:val="24"/>
                <w:szCs w:val="24"/>
              </w:rPr>
              <w:t>标识的第三方正规</w:t>
            </w:r>
            <w:r>
              <w:rPr>
                <w:rFonts w:hint="eastAsia" w:ascii="宋体" w:hAnsi="宋体" w:cs="宋体"/>
                <w:strike w:val="0"/>
                <w:dstrike w:val="0"/>
                <w:color w:val="auto"/>
                <w:kern w:val="0"/>
                <w:sz w:val="24"/>
                <w:szCs w:val="24"/>
                <w:lang w:bidi="ar"/>
              </w:rPr>
              <w:t>权威</w:t>
            </w:r>
            <w:r>
              <w:rPr>
                <w:rFonts w:hint="eastAsia"/>
                <w:strike w:val="0"/>
                <w:dstrike w:val="0"/>
                <w:color w:val="auto"/>
                <w:sz w:val="24"/>
                <w:szCs w:val="24"/>
              </w:rPr>
              <w:t>检验机构出具的产品检验报告复印件并加盖生产厂商公章（检验报告内容必须满足上述所有参数功能要求）</w:t>
            </w:r>
            <w:r>
              <w:rPr>
                <w:rFonts w:hint="eastAsia"/>
                <w:sz w:val="24"/>
                <w:szCs w:val="24"/>
              </w:rPr>
              <w:t>。</w:t>
            </w:r>
          </w:p>
          <w:p>
            <w:pPr>
              <w:pStyle w:val="2"/>
              <w:rPr>
                <w:rFonts w:hint="eastAsia"/>
                <w:sz w:val="24"/>
              </w:rPr>
            </w:pPr>
            <w:r>
              <w:rPr>
                <w:rFonts w:hint="eastAsia" w:ascii="宋体" w:hAnsi="宋体" w:cs="宋体"/>
                <w:kern w:val="0"/>
                <w:sz w:val="24"/>
                <w:lang w:bidi="ar"/>
              </w:rPr>
              <w:t>★10.为保证系统兼容稳定，所投产品（功放、矩阵）需为同一品牌，提供</w:t>
            </w:r>
            <w:r>
              <w:rPr>
                <w:rFonts w:hint="eastAsia" w:ascii="宋体" w:hAnsi="宋体" w:cs="宋体"/>
                <w:strike w:val="0"/>
                <w:dstrike w:val="0"/>
                <w:color w:val="auto"/>
                <w:kern w:val="0"/>
                <w:sz w:val="24"/>
                <w:lang w:bidi="ar"/>
              </w:rPr>
              <w:t>厂家</w:t>
            </w:r>
            <w:r>
              <w:rPr>
                <w:rFonts w:hint="eastAsia" w:ascii="宋体" w:hAnsi="宋体" w:cs="宋体"/>
                <w:kern w:val="0"/>
                <w:sz w:val="24"/>
                <w:lang w:bidi="ar"/>
              </w:rPr>
              <w:t>售后承诺函。</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网络中控系统逻辑处理内嵌软件</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1.软件内嵌于中央控制系统主机设备，实现系统控制逻辑、处理等功能。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2.主要包括硬件逻辑模块、软件逻辑模块、红外代码管理、编译、下载、监视等。</w:t>
            </w:r>
            <w:r>
              <w:rPr>
                <w:rFonts w:hint="eastAsia" w:ascii="宋体" w:hAnsi="宋体" w:cs="宋体"/>
                <w:kern w:val="0"/>
                <w:sz w:val="24"/>
                <w:szCs w:val="24"/>
                <w:lang w:bidi="ar"/>
              </w:rPr>
              <w:br w:type="textWrapping"/>
            </w:r>
            <w:r>
              <w:rPr>
                <w:rFonts w:hint="eastAsia" w:ascii="宋体" w:hAnsi="宋体" w:cs="宋体"/>
                <w:kern w:val="0"/>
                <w:sz w:val="24"/>
                <w:szCs w:val="24"/>
                <w:lang w:bidi="ar"/>
              </w:rPr>
              <w:t>3.编程软件支持添加与实际工程对应硬件的逻辑模块。</w:t>
            </w:r>
            <w:r>
              <w:rPr>
                <w:rFonts w:hint="eastAsia" w:ascii="宋体" w:hAnsi="宋体" w:cs="宋体"/>
                <w:kern w:val="0"/>
                <w:sz w:val="24"/>
                <w:szCs w:val="24"/>
                <w:lang w:bidi="ar"/>
              </w:rPr>
              <w:br w:type="textWrapping"/>
            </w:r>
            <w:r>
              <w:rPr>
                <w:rFonts w:hint="eastAsia" w:ascii="宋体" w:hAnsi="宋体" w:cs="宋体"/>
                <w:kern w:val="0"/>
                <w:sz w:val="24"/>
                <w:szCs w:val="24"/>
                <w:lang w:bidi="ar"/>
              </w:rPr>
              <w:t>4.实现串口代码数据、IR红外数据、继电器、I/O数据等的代码转发、逻辑算法处理等编程功能。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5.支持界面设计软件实现中控控制界面的制作及编辑，支持互锁模式，支持3D按键等灵活的按键设计模块。</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安卓平板电脑</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MatePaD Pro 8GB-256GB 10.8英寸 麒麟990 WIFI 贝母白</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无线路由器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1200M双频无线路由器，2.4G、5G双频，。外置天线，整机最大无线接入速率1167Mbps，支持802.11b/g/n和802.11a/n/ac Wave1/Wave2。</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控制器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1.软件内嵌于高清矩阵系统板卡设备，实现信号的处理功能。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2.支持分辨率高达1920×1080P@60Hz的处理能力。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3.通过矩阵切换信号或通过软件切换信号。</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28"/>
                <w:szCs w:val="28"/>
                <w:lang w:bidi="ar"/>
              </w:rPr>
              <w:t>（五）、扩声系统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专业功放</w:t>
            </w:r>
          </w:p>
        </w:tc>
        <w:tc>
          <w:tcPr>
            <w:tcW w:w="7474" w:type="dxa"/>
            <w:noWrap w:val="0"/>
            <w:vAlign w:val="top"/>
          </w:tcPr>
          <w:p>
            <w:pPr>
              <w:widowControl/>
              <w:textAlignment w:val="top"/>
              <w:rPr>
                <w:rFonts w:ascii="宋体" w:hAnsi="宋体" w:cs="宋体"/>
                <w:strike w:val="0"/>
                <w:dstrike w:val="0"/>
                <w:color w:val="auto"/>
                <w:kern w:val="0"/>
                <w:sz w:val="24"/>
                <w:szCs w:val="24"/>
                <w:lang w:bidi="ar"/>
              </w:rPr>
            </w:pPr>
            <w:r>
              <w:rPr>
                <w:rFonts w:hint="eastAsia" w:ascii="宋体" w:hAnsi="宋体" w:cs="宋体"/>
                <w:kern w:val="0"/>
                <w:sz w:val="24"/>
                <w:szCs w:val="24"/>
                <w:lang w:bidi="ar"/>
              </w:rPr>
              <w:t>1.输出功率（20Hz-20KHz/THD≤1％）：立体声/并联8Ω×2：700W×2、立体声/并联4Ω×2：1050W×2、立体声/并联2Ω×2：1500W×2、桥接8Ω：2100W、桥接4Ω：3000W</w:t>
            </w:r>
            <w:r>
              <w:rPr>
                <w:rFonts w:hint="eastAsia" w:ascii="宋体" w:hAnsi="宋体" w:cs="宋体"/>
                <w:kern w:val="0"/>
                <w:sz w:val="24"/>
                <w:szCs w:val="24"/>
                <w:lang w:bidi="ar"/>
              </w:rPr>
              <w:br w:type="textWrapping"/>
            </w:r>
            <w:r>
              <w:rPr>
                <w:rFonts w:hint="eastAsia" w:ascii="宋体" w:hAnsi="宋体" w:cs="宋体"/>
                <w:kern w:val="0"/>
                <w:sz w:val="24"/>
                <w:szCs w:val="24"/>
                <w:lang w:bidi="ar"/>
              </w:rPr>
              <w:t>2.开机软启动，防止开机时向电网吸收大电流，干扰其它用电设备。</w:t>
            </w:r>
            <w:r>
              <w:rPr>
                <w:rFonts w:hint="eastAsia" w:ascii="宋体" w:hAnsi="宋体" w:cs="宋体"/>
                <w:kern w:val="0"/>
                <w:sz w:val="24"/>
                <w:szCs w:val="24"/>
                <w:lang w:bidi="ar"/>
              </w:rPr>
              <w:br w:type="textWrapping"/>
            </w:r>
            <w:r>
              <w:rPr>
                <w:rFonts w:hint="eastAsia" w:ascii="宋体" w:hAnsi="宋体" w:cs="宋体"/>
                <w:kern w:val="0"/>
                <w:sz w:val="24"/>
                <w:szCs w:val="24"/>
                <w:lang w:bidi="ar"/>
              </w:rPr>
              <w:t>★3.内置智能压限系统，控制功率模块及扬声器系统在安全范围内工作。</w:t>
            </w:r>
            <w:r>
              <w:rPr>
                <w:rFonts w:hint="eastAsia" w:ascii="宋体" w:hAnsi="宋体" w:cs="宋体"/>
                <w:strike w:val="0"/>
                <w:dstrike w:val="0"/>
                <w:color w:val="auto"/>
                <w:kern w:val="0"/>
                <w:sz w:val="24"/>
                <w:szCs w:val="24"/>
                <w:lang w:bidi="ar"/>
              </w:rPr>
              <w:t xml:space="preserve"> (出具满足该参数的具有</w:t>
            </w:r>
            <w:r>
              <w:rPr>
                <w:rFonts w:ascii="宋体" w:hAnsi="宋体" w:cs="宋体"/>
                <w:strike w:val="0"/>
                <w:dstrike w:val="0"/>
                <w:color w:val="auto"/>
                <w:kern w:val="0"/>
                <w:sz w:val="24"/>
                <w:szCs w:val="24"/>
                <w:lang w:bidi="ar"/>
              </w:rPr>
              <w:t>CNAS</w:t>
            </w:r>
            <w:r>
              <w:rPr>
                <w:rFonts w:hint="eastAsia" w:ascii="宋体" w:hAnsi="宋体" w:cs="宋体"/>
                <w:strike w:val="0"/>
                <w:dstrike w:val="0"/>
                <w:color w:val="auto"/>
                <w:kern w:val="0"/>
                <w:sz w:val="24"/>
                <w:szCs w:val="24"/>
                <w:lang w:bidi="ar"/>
              </w:rPr>
              <w:t>、</w:t>
            </w:r>
            <w:r>
              <w:rPr>
                <w:rFonts w:ascii="宋体" w:hAnsi="宋体" w:cs="宋体"/>
                <w:strike w:val="0"/>
                <w:dstrike w:val="0"/>
                <w:color w:val="auto"/>
                <w:kern w:val="0"/>
                <w:sz w:val="24"/>
                <w:szCs w:val="24"/>
                <w:lang w:bidi="ar"/>
              </w:rPr>
              <w:t>CMA</w:t>
            </w:r>
            <w:r>
              <w:rPr>
                <w:rFonts w:hint="eastAsia" w:ascii="宋体" w:hAnsi="宋体" w:cs="宋体"/>
                <w:strike w:val="0"/>
                <w:dstrike w:val="0"/>
                <w:color w:val="auto"/>
                <w:kern w:val="0"/>
                <w:sz w:val="24"/>
                <w:szCs w:val="24"/>
                <w:lang w:bidi="ar"/>
              </w:rPr>
              <w:t>、ilac</w:t>
            </w:r>
            <w:r>
              <w:rPr>
                <w:rFonts w:ascii="宋体" w:hAnsi="宋体" w:cs="宋体"/>
                <w:strike w:val="0"/>
                <w:dstrike w:val="0"/>
                <w:color w:val="auto"/>
                <w:kern w:val="0"/>
                <w:sz w:val="24"/>
                <w:szCs w:val="24"/>
                <w:lang w:bidi="ar"/>
              </w:rPr>
              <w:t>-MRA</w:t>
            </w:r>
            <w:r>
              <w:rPr>
                <w:rFonts w:hint="eastAsia" w:ascii="宋体" w:hAnsi="宋体" w:cs="宋体"/>
                <w:strike w:val="0"/>
                <w:dstrike w:val="0"/>
                <w:color w:val="auto"/>
                <w:kern w:val="0"/>
                <w:sz w:val="24"/>
                <w:szCs w:val="24"/>
                <w:lang w:bidi="ar"/>
              </w:rPr>
              <w:t>标识的第三方正规权威机构检测报告，提供相关证明材料)</w:t>
            </w:r>
          </w:p>
          <w:p>
            <w:pPr>
              <w:widowControl/>
              <w:textAlignment w:val="top"/>
              <w:rPr>
                <w:rFonts w:hint="eastAsia" w:ascii="宋体" w:hAnsi="宋体" w:cs="宋体"/>
                <w:kern w:val="0"/>
                <w:sz w:val="24"/>
                <w:szCs w:val="24"/>
                <w:lang w:bidi="ar"/>
              </w:rPr>
            </w:pPr>
            <w:r>
              <w:rPr>
                <w:rFonts w:hint="eastAsia" w:ascii="宋体" w:hAnsi="宋体" w:cs="宋体"/>
                <w:kern w:val="0"/>
                <w:sz w:val="24"/>
                <w:szCs w:val="24"/>
                <w:lang w:bidi="ar"/>
              </w:rPr>
              <w:t>4.内置30Hz/50Hz高通滤波器。</w:t>
            </w:r>
            <w:r>
              <w:rPr>
                <w:rFonts w:hint="eastAsia" w:ascii="宋体" w:hAnsi="宋体" w:cs="宋体"/>
                <w:kern w:val="0"/>
                <w:sz w:val="24"/>
                <w:szCs w:val="24"/>
                <w:lang w:bidi="ar"/>
              </w:rPr>
              <w:br w:type="textWrapping"/>
            </w:r>
            <w:r>
              <w:rPr>
                <w:rFonts w:hint="eastAsia" w:ascii="宋体" w:hAnsi="宋体" w:cs="宋体"/>
                <w:kern w:val="0"/>
                <w:sz w:val="24"/>
                <w:szCs w:val="24"/>
                <w:lang w:bidi="ar"/>
              </w:rPr>
              <w:t>5.多种模式：立体声、桥接、并行。</w:t>
            </w:r>
            <w:r>
              <w:rPr>
                <w:rFonts w:hint="eastAsia" w:ascii="宋体" w:hAnsi="宋体" w:cs="宋体"/>
                <w:kern w:val="0"/>
                <w:sz w:val="24"/>
                <w:szCs w:val="24"/>
                <w:lang w:bidi="ar"/>
              </w:rPr>
              <w:br w:type="textWrapping"/>
            </w:r>
            <w:r>
              <w:rPr>
                <w:rFonts w:hint="eastAsia" w:ascii="宋体" w:hAnsi="宋体" w:cs="宋体"/>
                <w:kern w:val="0"/>
                <w:sz w:val="24"/>
                <w:szCs w:val="24"/>
                <w:lang w:bidi="ar"/>
              </w:rPr>
              <w:t>6.支持带2R低阻输出。</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7.变压器和低阻大容量电解滤波，保证大动态工作正常运行。 </w:t>
            </w:r>
            <w:r>
              <w:rPr>
                <w:rFonts w:hint="eastAsia" w:ascii="宋体" w:hAnsi="宋体" w:cs="宋体"/>
                <w:kern w:val="0"/>
                <w:sz w:val="24"/>
                <w:szCs w:val="24"/>
                <w:lang w:bidi="ar"/>
              </w:rPr>
              <w:br w:type="textWrapping"/>
            </w:r>
            <w:r>
              <w:rPr>
                <w:rFonts w:hint="eastAsia" w:ascii="宋体" w:hAnsi="宋体" w:cs="宋体"/>
                <w:kern w:val="0"/>
                <w:sz w:val="24"/>
                <w:szCs w:val="24"/>
                <w:lang w:bidi="ar"/>
              </w:rPr>
              <w:t>★8.H类高效的功率放大电路，完善可靠的安全保护措施和工作状态指示（短路、过载、直流和过热保护、变压器过热保护）</w:t>
            </w:r>
            <w:r>
              <w:rPr>
                <w:rFonts w:hint="eastAsia" w:ascii="宋体" w:hAnsi="宋体" w:cs="宋体"/>
                <w:color w:val="FF0000"/>
                <w:kern w:val="0"/>
                <w:sz w:val="24"/>
                <w:szCs w:val="24"/>
                <w:lang w:bidi="ar"/>
              </w:rPr>
              <w:t>。</w:t>
            </w:r>
            <w:r>
              <w:rPr>
                <w:rFonts w:hint="eastAsia" w:ascii="宋体" w:hAnsi="宋体" w:cs="宋体"/>
                <w:strike w:val="0"/>
                <w:dstrike w:val="0"/>
                <w:color w:val="auto"/>
                <w:kern w:val="0"/>
                <w:sz w:val="24"/>
                <w:szCs w:val="24"/>
                <w:lang w:bidi="ar"/>
              </w:rPr>
              <w:t>(出具满足该参数的具有</w:t>
            </w:r>
            <w:r>
              <w:rPr>
                <w:rFonts w:ascii="宋体" w:hAnsi="宋体" w:cs="宋体"/>
                <w:strike w:val="0"/>
                <w:dstrike w:val="0"/>
                <w:color w:val="auto"/>
                <w:kern w:val="0"/>
                <w:sz w:val="24"/>
                <w:szCs w:val="24"/>
                <w:lang w:bidi="ar"/>
              </w:rPr>
              <w:t>CNAS</w:t>
            </w:r>
            <w:r>
              <w:rPr>
                <w:rFonts w:hint="eastAsia" w:ascii="宋体" w:hAnsi="宋体" w:cs="宋体"/>
                <w:strike w:val="0"/>
                <w:dstrike w:val="0"/>
                <w:color w:val="auto"/>
                <w:kern w:val="0"/>
                <w:sz w:val="24"/>
                <w:szCs w:val="24"/>
                <w:lang w:bidi="ar"/>
              </w:rPr>
              <w:t>、</w:t>
            </w:r>
            <w:r>
              <w:rPr>
                <w:rFonts w:ascii="宋体" w:hAnsi="宋体" w:cs="宋体"/>
                <w:strike w:val="0"/>
                <w:dstrike w:val="0"/>
                <w:color w:val="auto"/>
                <w:kern w:val="0"/>
                <w:sz w:val="24"/>
                <w:szCs w:val="24"/>
                <w:lang w:bidi="ar"/>
              </w:rPr>
              <w:t>CMA</w:t>
            </w:r>
            <w:r>
              <w:rPr>
                <w:rFonts w:hint="eastAsia" w:ascii="宋体" w:hAnsi="宋体" w:cs="宋体"/>
                <w:strike w:val="0"/>
                <w:dstrike w:val="0"/>
                <w:color w:val="auto"/>
                <w:kern w:val="0"/>
                <w:sz w:val="24"/>
                <w:szCs w:val="24"/>
                <w:lang w:bidi="ar"/>
              </w:rPr>
              <w:t>、ilac</w:t>
            </w:r>
            <w:r>
              <w:rPr>
                <w:rFonts w:ascii="宋体" w:hAnsi="宋体" w:cs="宋体"/>
                <w:strike w:val="0"/>
                <w:dstrike w:val="0"/>
                <w:color w:val="auto"/>
                <w:kern w:val="0"/>
                <w:sz w:val="24"/>
                <w:szCs w:val="24"/>
                <w:lang w:bidi="ar"/>
              </w:rPr>
              <w:t>-MRA</w:t>
            </w:r>
            <w:r>
              <w:rPr>
                <w:rFonts w:hint="eastAsia" w:ascii="宋体" w:hAnsi="宋体" w:cs="宋体"/>
                <w:strike w:val="0"/>
                <w:dstrike w:val="0"/>
                <w:color w:val="auto"/>
                <w:kern w:val="0"/>
                <w:sz w:val="24"/>
                <w:szCs w:val="24"/>
                <w:lang w:bidi="ar"/>
              </w:rPr>
              <w:t xml:space="preserve">标识的第三方正规权威机构检测报告，提供相关证明材料) </w:t>
            </w:r>
            <w:r>
              <w:rPr>
                <w:rFonts w:hint="eastAsia" w:ascii="宋体" w:hAnsi="宋体" w:cs="宋体"/>
                <w:strike w:val="0"/>
                <w:dstrike w:val="0"/>
                <w:color w:val="auto"/>
                <w:kern w:val="0"/>
                <w:sz w:val="24"/>
                <w:szCs w:val="24"/>
                <w:lang w:bidi="ar"/>
              </w:rPr>
              <w:br w:type="textWrapping"/>
            </w:r>
            <w:r>
              <w:rPr>
                <w:rFonts w:hint="eastAsia" w:ascii="宋体" w:hAnsi="宋体" w:cs="宋体"/>
                <w:kern w:val="0"/>
                <w:sz w:val="24"/>
                <w:szCs w:val="24"/>
                <w:lang w:bidi="ar"/>
              </w:rPr>
              <w:t>9.连接座：XLR 、TRS接口</w:t>
            </w:r>
            <w:r>
              <w:rPr>
                <w:rFonts w:hint="eastAsia" w:ascii="宋体" w:hAnsi="宋体" w:cs="宋体"/>
                <w:kern w:val="0"/>
                <w:sz w:val="24"/>
                <w:szCs w:val="24"/>
                <w:lang w:bidi="ar"/>
              </w:rPr>
              <w:br w:type="textWrapping"/>
            </w:r>
            <w:r>
              <w:rPr>
                <w:rFonts w:hint="eastAsia" w:ascii="宋体" w:hAnsi="宋体" w:cs="宋体"/>
                <w:color w:val="auto"/>
                <w:kern w:val="0"/>
                <w:sz w:val="24"/>
                <w:szCs w:val="24"/>
                <w:lang w:bidi="ar"/>
              </w:rPr>
              <w:t>★10.所投产品厂家获得ISO10012-2003测量管理体系认证证书，对产品质量，经营管理，环境监测，安全防护，能源管理方面起到计量保障作用，提供证书复印件和官网查询截图并加盖生产厂商公章</w:t>
            </w:r>
            <w:r>
              <w:rPr>
                <w:rFonts w:hint="eastAsia" w:ascii="宋体" w:hAnsi="宋体" w:cs="宋体"/>
                <w:kern w:val="0"/>
                <w:sz w:val="24"/>
                <w:szCs w:val="24"/>
                <w:lang w:bidi="ar"/>
              </w:rPr>
              <w:t>。</w:t>
            </w:r>
          </w:p>
          <w:p>
            <w:pPr>
              <w:widowControl/>
              <w:textAlignment w:val="top"/>
              <w:rPr>
                <w:rFonts w:hint="eastAsia" w:ascii="宋体" w:hAnsi="宋体" w:eastAsia="宋体" w:cs="宋体"/>
                <w:sz w:val="24"/>
                <w:szCs w:val="24"/>
                <w:lang w:eastAsia="zh-CN"/>
              </w:rPr>
            </w:pPr>
            <w:r>
              <w:rPr>
                <w:rFonts w:hint="eastAsia" w:ascii="宋体" w:hAnsi="宋体" w:cs="宋体"/>
                <w:kern w:val="0"/>
                <w:sz w:val="24"/>
                <w:szCs w:val="24"/>
                <w:lang w:bidi="ar"/>
              </w:rPr>
              <w:t>★11.为了系统的稳定性，所投产品的生产厂家具备中国质量认证监督管理中心出具的中国节能环保荣誉证书和中国绿色环保产品荣誉证书（证书含有数字会议，专业音响等字样），提供证书复印件并盖生产厂商公章。</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专业音箱</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1．阻抗：8Ω</w:t>
            </w:r>
            <w:r>
              <w:rPr>
                <w:rFonts w:hint="eastAsia" w:ascii="宋体" w:hAnsi="宋体" w:cs="宋体"/>
                <w:kern w:val="0"/>
                <w:sz w:val="24"/>
                <w:szCs w:val="24"/>
                <w:lang w:bidi="ar"/>
              </w:rPr>
              <w:br w:type="textWrapping"/>
            </w:r>
            <w:r>
              <w:rPr>
                <w:rFonts w:hint="eastAsia" w:ascii="宋体" w:hAnsi="宋体" w:cs="宋体"/>
                <w:kern w:val="0"/>
                <w:sz w:val="24"/>
                <w:szCs w:val="24"/>
                <w:lang w:bidi="ar"/>
              </w:rPr>
              <w:t>2．频响：45Hz-20KHz</w:t>
            </w:r>
            <w:r>
              <w:rPr>
                <w:rFonts w:hint="eastAsia" w:ascii="宋体" w:hAnsi="宋体" w:cs="宋体"/>
                <w:kern w:val="0"/>
                <w:sz w:val="24"/>
                <w:szCs w:val="24"/>
                <w:lang w:bidi="ar"/>
              </w:rPr>
              <w:br w:type="textWrapping"/>
            </w:r>
            <w:r>
              <w:rPr>
                <w:rFonts w:hint="eastAsia" w:ascii="宋体" w:hAnsi="宋体" w:cs="宋体"/>
                <w:kern w:val="0"/>
                <w:sz w:val="24"/>
                <w:szCs w:val="24"/>
                <w:lang w:bidi="ar"/>
              </w:rPr>
              <w:t>3．额定功率：400W</w:t>
            </w:r>
            <w:r>
              <w:rPr>
                <w:rFonts w:hint="eastAsia" w:ascii="宋体" w:hAnsi="宋体" w:cs="宋体"/>
                <w:kern w:val="0"/>
                <w:sz w:val="24"/>
                <w:szCs w:val="24"/>
                <w:lang w:bidi="ar"/>
              </w:rPr>
              <w:br w:type="textWrapping"/>
            </w:r>
            <w:r>
              <w:rPr>
                <w:rFonts w:hint="eastAsia" w:ascii="宋体" w:hAnsi="宋体" w:cs="宋体"/>
                <w:kern w:val="0"/>
                <w:sz w:val="24"/>
                <w:szCs w:val="24"/>
                <w:lang w:bidi="ar"/>
              </w:rPr>
              <w:t>4．灵敏度：99dB/W/M</w:t>
            </w:r>
            <w:r>
              <w:rPr>
                <w:rFonts w:hint="eastAsia" w:ascii="宋体" w:hAnsi="宋体" w:cs="宋体"/>
                <w:kern w:val="0"/>
                <w:sz w:val="24"/>
                <w:szCs w:val="24"/>
                <w:lang w:bidi="ar"/>
              </w:rPr>
              <w:br w:type="textWrapping"/>
            </w:r>
            <w:r>
              <w:rPr>
                <w:rFonts w:hint="eastAsia" w:ascii="宋体" w:hAnsi="宋体" w:cs="宋体"/>
                <w:kern w:val="0"/>
                <w:sz w:val="24"/>
                <w:szCs w:val="24"/>
                <w:lang w:bidi="ar"/>
              </w:rPr>
              <w:t>5．覆盖角度：(H)90°(V)80°</w:t>
            </w:r>
            <w:r>
              <w:rPr>
                <w:rFonts w:hint="eastAsia" w:ascii="宋体" w:hAnsi="宋体" w:cs="宋体"/>
                <w:kern w:val="0"/>
                <w:sz w:val="24"/>
                <w:szCs w:val="24"/>
                <w:lang w:bidi="ar"/>
              </w:rPr>
              <w:br w:type="textWrapping"/>
            </w:r>
            <w:r>
              <w:rPr>
                <w:rFonts w:hint="eastAsia" w:ascii="宋体" w:hAnsi="宋体" w:cs="宋体"/>
                <w:kern w:val="0"/>
                <w:sz w:val="24"/>
                <w:szCs w:val="24"/>
                <w:lang w:bidi="ar"/>
              </w:rPr>
              <w:t>6．高音：1.7"压缩高音单元×1；低音：12"低音×1</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只</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支架</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1.固定面板尺寸（长*宽）：230mm*152mm</w:t>
            </w:r>
            <w:r>
              <w:rPr>
                <w:rFonts w:hint="eastAsia" w:ascii="宋体" w:hAnsi="宋体" w:cs="宋体"/>
                <w:kern w:val="0"/>
                <w:sz w:val="24"/>
                <w:szCs w:val="24"/>
                <w:lang w:bidi="ar"/>
              </w:rPr>
              <w:br w:type="textWrapping"/>
            </w:r>
            <w:r>
              <w:rPr>
                <w:rFonts w:hint="eastAsia" w:ascii="宋体" w:hAnsi="宋体" w:cs="宋体"/>
                <w:kern w:val="0"/>
                <w:sz w:val="24"/>
                <w:szCs w:val="24"/>
                <w:lang w:bidi="ar"/>
              </w:rPr>
              <w:t>2.臂杆长度：230mm</w:t>
            </w:r>
            <w:r>
              <w:rPr>
                <w:rFonts w:hint="eastAsia" w:ascii="宋体" w:hAnsi="宋体" w:cs="宋体"/>
                <w:kern w:val="0"/>
                <w:sz w:val="24"/>
                <w:szCs w:val="24"/>
                <w:lang w:bidi="ar"/>
              </w:rPr>
              <w:br w:type="textWrapping"/>
            </w:r>
            <w:r>
              <w:rPr>
                <w:rFonts w:hint="eastAsia" w:ascii="宋体" w:hAnsi="宋体" w:cs="宋体"/>
                <w:kern w:val="0"/>
                <w:sz w:val="24"/>
                <w:szCs w:val="24"/>
                <w:lang w:bidi="ar"/>
              </w:rPr>
              <w:t>3.箱体固定杆长度：155mm</w:t>
            </w:r>
            <w:r>
              <w:rPr>
                <w:rFonts w:hint="eastAsia" w:ascii="宋体" w:hAnsi="宋体" w:cs="宋体"/>
                <w:kern w:val="0"/>
                <w:sz w:val="24"/>
                <w:szCs w:val="24"/>
                <w:lang w:bidi="ar"/>
              </w:rPr>
              <w:br w:type="textWrapping"/>
            </w:r>
            <w:r>
              <w:rPr>
                <w:rFonts w:hint="eastAsia" w:ascii="宋体" w:hAnsi="宋体" w:cs="宋体"/>
                <w:kern w:val="0"/>
                <w:sz w:val="24"/>
                <w:szCs w:val="24"/>
                <w:lang w:bidi="ar"/>
              </w:rPr>
              <w:t>4.重量：2.56Kg</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只</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调音台</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1.支持≥10路MIC输入兼容8路线路输入接口，支持≥2组立体声输入接口，≥4路RCA输入，话筒接口幻象电源：+48V。</w:t>
            </w:r>
            <w:r>
              <w:rPr>
                <w:rFonts w:hint="eastAsia" w:ascii="宋体" w:hAnsi="宋体" w:cs="宋体"/>
                <w:kern w:val="0"/>
                <w:sz w:val="24"/>
                <w:szCs w:val="24"/>
                <w:lang w:bidi="ar"/>
              </w:rPr>
              <w:br w:type="textWrapping"/>
            </w:r>
            <w:r>
              <w:rPr>
                <w:rFonts w:hint="eastAsia" w:ascii="宋体" w:hAnsi="宋体" w:cs="宋体"/>
                <w:kern w:val="0"/>
                <w:sz w:val="24"/>
                <w:szCs w:val="24"/>
                <w:lang w:bidi="ar"/>
              </w:rPr>
              <w:t>2.具有≥2组立体主输出、≥4路编组输出、≥4路辅助输出、≥1组立体声监听输出、≥1个耳机监听输出、≥2个效果输出、≥1组主混音断点插入、≥8个断点插入。（提供接口截图佐证）</w:t>
            </w:r>
            <w:r>
              <w:rPr>
                <w:rFonts w:hint="eastAsia" w:ascii="宋体" w:hAnsi="宋体" w:cs="宋体"/>
                <w:kern w:val="0"/>
                <w:sz w:val="24"/>
                <w:szCs w:val="24"/>
                <w:lang w:bidi="ar"/>
              </w:rPr>
              <w:br w:type="textWrapping"/>
            </w:r>
            <w:r>
              <w:rPr>
                <w:rFonts w:hint="eastAsia" w:ascii="宋体" w:hAnsi="宋体" w:cs="宋体"/>
                <w:kern w:val="0"/>
                <w:sz w:val="24"/>
                <w:szCs w:val="24"/>
                <w:lang w:bidi="ar"/>
              </w:rPr>
              <w:t>3.内置24位DSP效果器，提供100种预设效果。</w:t>
            </w:r>
            <w:r>
              <w:rPr>
                <w:rFonts w:hint="eastAsia" w:ascii="宋体" w:hAnsi="宋体" w:cs="宋体"/>
                <w:kern w:val="0"/>
                <w:sz w:val="24"/>
                <w:szCs w:val="24"/>
                <w:lang w:bidi="ar"/>
              </w:rPr>
              <w:br w:type="textWrapping"/>
            </w:r>
            <w:r>
              <w:rPr>
                <w:rFonts w:hint="eastAsia" w:ascii="宋体" w:hAnsi="宋体" w:cs="宋体"/>
                <w:kern w:val="0"/>
                <w:sz w:val="24"/>
                <w:szCs w:val="24"/>
                <w:lang w:bidi="ar"/>
              </w:rPr>
              <w:t>4.具备15个60mm行程的高精密碳膜推子。</w:t>
            </w:r>
            <w:r>
              <w:rPr>
                <w:rFonts w:hint="eastAsia" w:ascii="宋体" w:hAnsi="宋体" w:cs="宋体"/>
                <w:kern w:val="0"/>
                <w:sz w:val="24"/>
                <w:szCs w:val="24"/>
                <w:lang w:bidi="ar"/>
              </w:rPr>
              <w:br w:type="textWrapping"/>
            </w:r>
            <w:r>
              <w:rPr>
                <w:rFonts w:hint="eastAsia" w:ascii="宋体" w:hAnsi="宋体" w:cs="宋体"/>
                <w:kern w:val="0"/>
                <w:sz w:val="24"/>
                <w:szCs w:val="24"/>
                <w:lang w:bidi="ar"/>
              </w:rPr>
              <w:t>★5.内置USB声卡模块，支持连接电脑进行音乐播放和声音录音；内置MP3播放器，支持1个USB接口接U盘播放音乐。（提供接口截图佐证）</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音频处理器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1.数字音频处理器支持≥8路平衡式话筒/线路输入通道，采用裸线接口端子，平衡接法；支持≥8路平衡式线路输出，采用裸线接口端子，平衡接法。</w:t>
            </w:r>
            <w:r>
              <w:rPr>
                <w:rFonts w:hint="eastAsia" w:ascii="宋体" w:hAnsi="宋体" w:cs="宋体"/>
                <w:kern w:val="0"/>
                <w:sz w:val="24"/>
                <w:szCs w:val="24"/>
                <w:lang w:bidi="ar"/>
              </w:rPr>
              <w:br w:type="textWrapping"/>
            </w:r>
            <w:r>
              <w:rPr>
                <w:rFonts w:hint="eastAsia" w:ascii="宋体" w:hAnsi="宋体" w:cs="宋体"/>
                <w:kern w:val="0"/>
                <w:sz w:val="24"/>
                <w:szCs w:val="24"/>
                <w:lang w:bidi="ar"/>
              </w:rPr>
              <w:t>2.输入通道支持前级放大、信号发生器、扩展器、压缩器、5段参量均衡、AM自动混音功能、AFC自适应反馈消除、AEC回声消除、ANC噪声消除。</w:t>
            </w:r>
            <w:r>
              <w:rPr>
                <w:rFonts w:hint="eastAsia" w:ascii="宋体" w:hAnsi="宋体" w:cs="宋体"/>
                <w:kern w:val="0"/>
                <w:sz w:val="24"/>
                <w:szCs w:val="24"/>
                <w:lang w:bidi="ar"/>
              </w:rPr>
              <w:br w:type="textWrapping"/>
            </w:r>
            <w:r>
              <w:rPr>
                <w:rFonts w:hint="eastAsia" w:ascii="宋体" w:hAnsi="宋体" w:cs="宋体"/>
                <w:kern w:val="0"/>
                <w:sz w:val="24"/>
                <w:szCs w:val="24"/>
                <w:lang w:bidi="ar"/>
              </w:rPr>
              <w:t>3.输出通道支持31段图示均衡器、延时器、分频器、高低通滤波器、限幅器。</w:t>
            </w:r>
            <w:r>
              <w:rPr>
                <w:rFonts w:hint="eastAsia" w:ascii="宋体" w:hAnsi="宋体" w:cs="宋体"/>
                <w:kern w:val="0"/>
                <w:sz w:val="24"/>
                <w:szCs w:val="24"/>
                <w:lang w:bidi="ar"/>
              </w:rPr>
              <w:br w:type="textWrapping"/>
            </w:r>
            <w:r>
              <w:rPr>
                <w:rFonts w:hint="eastAsia" w:ascii="宋体" w:hAnsi="宋体" w:cs="宋体"/>
                <w:kern w:val="0"/>
                <w:sz w:val="24"/>
                <w:szCs w:val="24"/>
                <w:lang w:bidi="ar"/>
              </w:rPr>
              <w:t>4.支持24bit/48KHz的声音，支持输入通道48V幻象供电。</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5.支持通过ipad或iPhone或安卓手机APP软件进行操作控制、切换8个不同场景。面板具备USB接口，支持多媒体存储，可进行播放或存储录播。</w:t>
            </w:r>
            <w:r>
              <w:rPr>
                <w:rFonts w:hint="eastAsia" w:ascii="宋体" w:hAnsi="宋体" w:cs="宋体"/>
                <w:kern w:val="0"/>
                <w:sz w:val="24"/>
                <w:szCs w:val="24"/>
                <w:lang w:bidi="ar"/>
              </w:rPr>
              <w:br w:type="textWrapping"/>
            </w:r>
            <w:r>
              <w:rPr>
                <w:rFonts w:hint="eastAsia" w:ascii="宋体" w:hAnsi="宋体" w:cs="宋体"/>
                <w:kern w:val="0"/>
                <w:sz w:val="24"/>
                <w:szCs w:val="24"/>
                <w:lang w:bidi="ar"/>
              </w:rPr>
              <w:t>6.配置双向RS-232接口，可用于控制外部设备；配置RS-485接口，可实现自动摄像跟踪功能。配置8通道可编程GPIO控制接口（可自定义输入输出）。</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7.支持断电自动保护记忆功能。支持通道拷贝、粘贴、联控功能。支持通过浏览器访问设备，下载自带管理控制软件；可工作在XP/Windows7、8、10等系统环境下。</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6</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抑制器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1.48kHz采样频率，32-bit DPS处理器（300兆主频），24-bitA/D及D/A转换。</w:t>
            </w:r>
            <w:r>
              <w:rPr>
                <w:rFonts w:hint="eastAsia" w:ascii="宋体" w:hAnsi="宋体" w:cs="宋体"/>
                <w:kern w:val="0"/>
                <w:sz w:val="24"/>
                <w:szCs w:val="24"/>
                <w:lang w:bidi="ar"/>
              </w:rPr>
              <w:br w:type="textWrapping"/>
            </w:r>
            <w:r>
              <w:rPr>
                <w:rFonts w:hint="eastAsia" w:ascii="宋体" w:hAnsi="宋体" w:cs="宋体"/>
                <w:kern w:val="0"/>
                <w:sz w:val="24"/>
                <w:szCs w:val="24"/>
                <w:lang w:bidi="ar"/>
              </w:rPr>
              <w:t>★2.5档全自动移频模式选择，适用于各种场景及麦克风类型。</w:t>
            </w:r>
            <w:r>
              <w:rPr>
                <w:rFonts w:hint="eastAsia" w:ascii="宋体" w:hAnsi="宋体" w:cs="宋体"/>
                <w:strike w:val="0"/>
                <w:dstrike w:val="0"/>
                <w:kern w:val="0"/>
                <w:sz w:val="24"/>
                <w:szCs w:val="24"/>
                <w:lang w:bidi="ar"/>
              </w:rPr>
              <w:t>(出具满足该参数的具有</w:t>
            </w:r>
            <w:r>
              <w:rPr>
                <w:rFonts w:ascii="宋体" w:hAnsi="宋体" w:cs="宋体"/>
                <w:strike w:val="0"/>
                <w:dstrike w:val="0"/>
                <w:kern w:val="0"/>
                <w:sz w:val="24"/>
                <w:szCs w:val="24"/>
                <w:lang w:bidi="ar"/>
              </w:rPr>
              <w:t>CNAS</w:t>
            </w:r>
            <w:r>
              <w:rPr>
                <w:rFonts w:hint="eastAsia" w:ascii="宋体" w:hAnsi="宋体" w:cs="宋体"/>
                <w:strike w:val="0"/>
                <w:dstrike w:val="0"/>
                <w:kern w:val="0"/>
                <w:sz w:val="24"/>
                <w:szCs w:val="24"/>
                <w:lang w:bidi="ar"/>
              </w:rPr>
              <w:t>、</w:t>
            </w:r>
            <w:r>
              <w:rPr>
                <w:rFonts w:ascii="宋体" w:hAnsi="宋体" w:cs="宋体"/>
                <w:strike w:val="0"/>
                <w:dstrike w:val="0"/>
                <w:kern w:val="0"/>
                <w:sz w:val="24"/>
                <w:szCs w:val="24"/>
                <w:lang w:bidi="ar"/>
              </w:rPr>
              <w:t>CMA</w:t>
            </w:r>
            <w:r>
              <w:rPr>
                <w:rFonts w:hint="eastAsia" w:ascii="宋体" w:hAnsi="宋体" w:cs="宋体"/>
                <w:strike w:val="0"/>
                <w:dstrike w:val="0"/>
                <w:kern w:val="0"/>
                <w:sz w:val="24"/>
                <w:szCs w:val="24"/>
                <w:lang w:bidi="ar"/>
              </w:rPr>
              <w:t>、ilac</w:t>
            </w:r>
            <w:r>
              <w:rPr>
                <w:rFonts w:ascii="宋体" w:hAnsi="宋体" w:cs="宋体"/>
                <w:strike w:val="0"/>
                <w:dstrike w:val="0"/>
                <w:kern w:val="0"/>
                <w:sz w:val="24"/>
                <w:szCs w:val="24"/>
                <w:lang w:bidi="ar"/>
              </w:rPr>
              <w:t>-MRA</w:t>
            </w:r>
            <w:r>
              <w:rPr>
                <w:rFonts w:hint="eastAsia" w:ascii="宋体" w:hAnsi="宋体" w:cs="宋体"/>
                <w:strike w:val="0"/>
                <w:dstrike w:val="0"/>
                <w:kern w:val="0"/>
                <w:sz w:val="24"/>
                <w:szCs w:val="24"/>
                <w:lang w:bidi="ar"/>
              </w:rPr>
              <w:t>标识的第三方正规权威机构检测报告，提供相关证明材料)</w:t>
            </w:r>
            <w:r>
              <w:rPr>
                <w:rFonts w:hint="eastAsia" w:ascii="宋体" w:hAnsi="宋体" w:cs="宋体"/>
                <w:strike w:val="0"/>
                <w:dstrike w:val="0"/>
                <w:kern w:val="0"/>
                <w:sz w:val="24"/>
                <w:szCs w:val="24"/>
                <w:lang w:bidi="ar"/>
              </w:rPr>
              <w:br w:type="textWrapping"/>
            </w:r>
            <w:r>
              <w:rPr>
                <w:rFonts w:hint="eastAsia" w:ascii="宋体" w:hAnsi="宋体" w:cs="宋体"/>
                <w:kern w:val="0"/>
                <w:sz w:val="24"/>
                <w:szCs w:val="24"/>
                <w:lang w:bidi="ar"/>
              </w:rPr>
              <w:t>3.采用2英寸显示屏，分辨率320*240。支持中/英文菜单显示。</w:t>
            </w:r>
            <w:r>
              <w:rPr>
                <w:rFonts w:hint="eastAsia" w:ascii="宋体" w:hAnsi="宋体" w:cs="宋体"/>
                <w:kern w:val="0"/>
                <w:sz w:val="24"/>
                <w:szCs w:val="24"/>
                <w:lang w:bidi="ar"/>
              </w:rPr>
              <w:br w:type="textWrapping"/>
            </w:r>
            <w:r>
              <w:rPr>
                <w:rFonts w:hint="eastAsia" w:ascii="宋体" w:hAnsi="宋体" w:cs="宋体"/>
                <w:kern w:val="0"/>
                <w:sz w:val="24"/>
                <w:szCs w:val="24"/>
                <w:lang w:bidi="ar"/>
              </w:rPr>
              <w:t>4.48个陷波器状态LED指示灯实时显示，每通道12个静态+12个动态陷波器。</w:t>
            </w:r>
            <w:r>
              <w:rPr>
                <w:rFonts w:hint="eastAsia" w:ascii="宋体" w:hAnsi="宋体" w:cs="宋体"/>
                <w:kern w:val="0"/>
                <w:sz w:val="24"/>
                <w:szCs w:val="24"/>
                <w:lang w:bidi="ar"/>
              </w:rPr>
              <w:br w:type="textWrapping"/>
            </w:r>
            <w:r>
              <w:rPr>
                <w:rFonts w:hint="eastAsia" w:ascii="宋体" w:hAnsi="宋体" w:cs="宋体"/>
                <w:kern w:val="0"/>
                <w:sz w:val="24"/>
                <w:szCs w:val="24"/>
                <w:lang w:bidi="ar"/>
              </w:rPr>
              <w:t>5.采用单键飞梭快捷操作，快速实现模式、直通、锁定及中英文选择功能。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6.移频器±10Hz可调（1Hz步进），陷波器增益、Q值、数量可调。</w:t>
            </w:r>
            <w:r>
              <w:rPr>
                <w:rFonts w:hint="eastAsia" w:ascii="宋体" w:hAnsi="宋体" w:cs="宋体"/>
                <w:kern w:val="0"/>
                <w:sz w:val="24"/>
                <w:szCs w:val="24"/>
                <w:lang w:bidi="ar"/>
              </w:rPr>
              <w:br w:type="textWrapping"/>
            </w:r>
            <w:r>
              <w:rPr>
                <w:rFonts w:hint="eastAsia" w:ascii="宋体" w:hAnsi="宋体" w:cs="宋体"/>
                <w:kern w:val="0"/>
                <w:sz w:val="24"/>
                <w:szCs w:val="24"/>
                <w:lang w:bidi="ar"/>
              </w:rPr>
              <w:t>7.独立每通道增益、噪声门、压限器、移频、陷波、高低通、7段PEQ功能设置。</w:t>
            </w:r>
            <w:r>
              <w:rPr>
                <w:rFonts w:hint="eastAsia" w:ascii="宋体" w:hAnsi="宋体" w:cs="宋体"/>
                <w:kern w:val="0"/>
                <w:sz w:val="24"/>
                <w:szCs w:val="24"/>
                <w:lang w:bidi="ar"/>
              </w:rPr>
              <w:br w:type="textWrapping"/>
            </w:r>
            <w:r>
              <w:rPr>
                <w:rFonts w:hint="eastAsia" w:ascii="宋体" w:hAnsi="宋体" w:cs="宋体"/>
                <w:kern w:val="0"/>
                <w:sz w:val="24"/>
                <w:szCs w:val="24"/>
                <w:lang w:bidi="ar"/>
              </w:rPr>
              <w:t>8.提供USB和RS-485通讯接口，连接PC上位机及中控设备。</w:t>
            </w:r>
            <w:r>
              <w:rPr>
                <w:rFonts w:hint="eastAsia" w:ascii="宋体" w:hAnsi="宋体" w:cs="宋体"/>
                <w:kern w:val="0"/>
                <w:sz w:val="24"/>
                <w:szCs w:val="24"/>
                <w:lang w:bidi="ar"/>
              </w:rPr>
              <w:br w:type="textWrapping"/>
            </w:r>
            <w:r>
              <w:rPr>
                <w:rFonts w:hint="eastAsia" w:ascii="宋体" w:hAnsi="宋体" w:cs="宋体"/>
                <w:kern w:val="0"/>
                <w:sz w:val="24"/>
                <w:szCs w:val="24"/>
                <w:lang w:bidi="ar"/>
              </w:rPr>
              <w:t>★9.通过PC上位机可任意编辑5档预设模式，支持模式存档及EQ存档导入导出。</w:t>
            </w:r>
            <w:r>
              <w:rPr>
                <w:rFonts w:hint="eastAsia" w:ascii="宋体" w:hAnsi="宋体" w:cs="宋体"/>
                <w:strike w:val="0"/>
                <w:dstrike w:val="0"/>
                <w:kern w:val="0"/>
                <w:sz w:val="24"/>
                <w:szCs w:val="24"/>
                <w:lang w:bidi="ar"/>
              </w:rPr>
              <w:t>(出具满足该参数的具有</w:t>
            </w:r>
            <w:r>
              <w:rPr>
                <w:rFonts w:ascii="宋体" w:hAnsi="宋体" w:cs="宋体"/>
                <w:strike w:val="0"/>
                <w:dstrike w:val="0"/>
                <w:kern w:val="0"/>
                <w:sz w:val="24"/>
                <w:szCs w:val="24"/>
                <w:lang w:bidi="ar"/>
              </w:rPr>
              <w:t>CNAS</w:t>
            </w:r>
            <w:r>
              <w:rPr>
                <w:rFonts w:hint="eastAsia" w:ascii="宋体" w:hAnsi="宋体" w:cs="宋体"/>
                <w:strike w:val="0"/>
                <w:dstrike w:val="0"/>
                <w:kern w:val="0"/>
                <w:sz w:val="24"/>
                <w:szCs w:val="24"/>
                <w:lang w:bidi="ar"/>
              </w:rPr>
              <w:t>、</w:t>
            </w:r>
            <w:r>
              <w:rPr>
                <w:rFonts w:ascii="宋体" w:hAnsi="宋体" w:cs="宋体"/>
                <w:strike w:val="0"/>
                <w:dstrike w:val="0"/>
                <w:kern w:val="0"/>
                <w:sz w:val="24"/>
                <w:szCs w:val="24"/>
                <w:lang w:bidi="ar"/>
              </w:rPr>
              <w:t>CMA</w:t>
            </w:r>
            <w:r>
              <w:rPr>
                <w:rFonts w:hint="eastAsia" w:ascii="宋体" w:hAnsi="宋体" w:cs="宋体"/>
                <w:strike w:val="0"/>
                <w:dstrike w:val="0"/>
                <w:kern w:val="0"/>
                <w:sz w:val="24"/>
                <w:szCs w:val="24"/>
                <w:lang w:bidi="ar"/>
              </w:rPr>
              <w:t>、ilac</w:t>
            </w:r>
            <w:r>
              <w:rPr>
                <w:rFonts w:ascii="宋体" w:hAnsi="宋体" w:cs="宋体"/>
                <w:strike w:val="0"/>
                <w:dstrike w:val="0"/>
                <w:kern w:val="0"/>
                <w:sz w:val="24"/>
                <w:szCs w:val="24"/>
                <w:lang w:bidi="ar"/>
              </w:rPr>
              <w:t>-MRA</w:t>
            </w:r>
            <w:r>
              <w:rPr>
                <w:rFonts w:hint="eastAsia" w:ascii="宋体" w:hAnsi="宋体" w:cs="宋体"/>
                <w:strike w:val="0"/>
                <w:dstrike w:val="0"/>
                <w:kern w:val="0"/>
                <w:sz w:val="24"/>
                <w:szCs w:val="24"/>
                <w:lang w:bidi="ar"/>
              </w:rPr>
              <w:t>标识的第三方正规权威机构检测报告，提供相关证明材料)</w:t>
            </w:r>
            <w:r>
              <w:rPr>
                <w:rFonts w:ascii="宋体" w:hAnsi="宋体" w:cs="宋体"/>
                <w:kern w:val="0"/>
                <w:sz w:val="24"/>
                <w:szCs w:val="24"/>
                <w:lang w:bidi="ar"/>
              </w:rPr>
              <w:t xml:space="preserve"> </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7</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会议系统主机</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采用5GHz的通信频段，拥有更强的抗干扰能力，提供更大的带宽和传输速度，并不受移动电话和其他蓝牙设备干扰，确保实现最佳的信号接收。采用128位AES加密技术，支持WPA/WPA2无线安全技术，防止窃听和非授权访问，提供更高的会议系统机密性。</w:t>
            </w:r>
            <w:r>
              <w:rPr>
                <w:rFonts w:hint="eastAsia" w:ascii="宋体" w:hAnsi="宋体" w:cs="宋体"/>
                <w:kern w:val="0"/>
                <w:sz w:val="24"/>
                <w:szCs w:val="24"/>
                <w:lang w:bidi="ar"/>
              </w:rPr>
              <w:br w:type="textWrapping"/>
            </w:r>
            <w:r>
              <w:rPr>
                <w:rFonts w:hint="eastAsia" w:ascii="宋体" w:hAnsi="宋体" w:cs="宋体"/>
                <w:kern w:val="0"/>
                <w:sz w:val="24"/>
                <w:szCs w:val="24"/>
                <w:lang w:bidi="ar"/>
              </w:rPr>
              <w:t>2.内置高性能双CPU处理器，超强的处理能力，内核具有28/56位、50MIPS数字音频DSP处理器，立体声音频ADC和DAC，支持8KHz至96KHz范围内的采样速率，并支持数字音量控制。</w:t>
            </w:r>
            <w:r>
              <w:rPr>
                <w:rFonts w:hint="eastAsia" w:ascii="宋体" w:hAnsi="宋体" w:cs="宋体"/>
                <w:kern w:val="0"/>
                <w:sz w:val="24"/>
                <w:szCs w:val="24"/>
                <w:lang w:bidi="ar"/>
              </w:rPr>
              <w:br w:type="textWrapping"/>
            </w:r>
            <w:r>
              <w:rPr>
                <w:rFonts w:hint="eastAsia" w:ascii="宋体" w:hAnsi="宋体" w:cs="宋体"/>
                <w:kern w:val="0"/>
                <w:sz w:val="24"/>
                <w:szCs w:val="24"/>
                <w:lang w:bidi="ar"/>
              </w:rPr>
              <w:t>3.具有≥4.3英寸触摸屏，具有WIFI网络接口，可以通过连接POE网络交换机扩充无线AP数量，提供更大的无线覆盖范围。具有1-4路会议单元输出接口，具有超大系统容量，系统最大支持≥4096台有线会议单元，≥300台无线会议单元。系统最大支持同时开≥8个有线话筒和≥6个无线话筒。</w:t>
            </w:r>
            <w:r>
              <w:rPr>
                <w:rFonts w:hint="eastAsia" w:ascii="宋体" w:hAnsi="宋体" w:cs="宋体"/>
                <w:kern w:val="0"/>
                <w:sz w:val="24"/>
                <w:szCs w:val="24"/>
                <w:lang w:bidi="ar"/>
              </w:rPr>
              <w:br w:type="textWrapping"/>
            </w:r>
            <w:r>
              <w:rPr>
                <w:rFonts w:hint="eastAsia" w:ascii="宋体" w:hAnsi="宋体" w:cs="宋体"/>
                <w:kern w:val="0"/>
                <w:sz w:val="24"/>
                <w:szCs w:val="24"/>
                <w:lang w:bidi="ar"/>
              </w:rPr>
              <w:t>4.支持WiFi会议系统和全数字会议系统同时使用（有线会议单元和WiFi会议单元同时使用）。具有一键关机所有无线单元功能。具有1路USB接口，支持插入U盘设备进行录音功能，支持播放背景音乐功能。具有≥两路功放输出接口，可接驳两个2*25W的定阻音箱。</w:t>
            </w:r>
            <w:r>
              <w:rPr>
                <w:rFonts w:hint="eastAsia" w:ascii="宋体" w:hAnsi="宋体" w:cs="宋体"/>
                <w:kern w:val="0"/>
                <w:sz w:val="24"/>
                <w:szCs w:val="24"/>
                <w:lang w:bidi="ar"/>
              </w:rPr>
              <w:br w:type="textWrapping"/>
            </w:r>
            <w:r>
              <w:rPr>
                <w:rFonts w:hint="eastAsia" w:ascii="宋体" w:hAnsi="宋体" w:cs="宋体"/>
                <w:kern w:val="0"/>
                <w:sz w:val="24"/>
                <w:szCs w:val="24"/>
                <w:lang w:bidi="ar"/>
              </w:rPr>
              <w:t>5.遵循规范：IEC60914，兼容GBT15381-94标准；支持同声传译功能，支持四种话筒管理模式：FIFO/NORMAL/VOICE(声控)/APPLY。具有1路EXTENSION 口，可用于连接扩展主机。</w:t>
            </w:r>
            <w:r>
              <w:rPr>
                <w:rFonts w:hint="eastAsia" w:ascii="宋体" w:hAnsi="宋体" w:cs="宋体"/>
                <w:kern w:val="0"/>
                <w:sz w:val="24"/>
                <w:szCs w:val="24"/>
                <w:lang w:bidi="ar"/>
              </w:rPr>
              <w:br w:type="textWrapping"/>
            </w:r>
            <w:r>
              <w:rPr>
                <w:rFonts w:hint="eastAsia" w:ascii="宋体" w:hAnsi="宋体" w:cs="宋体"/>
                <w:kern w:val="0"/>
                <w:sz w:val="24"/>
                <w:szCs w:val="24"/>
                <w:lang w:bidi="ar"/>
              </w:rPr>
              <w:t>6.具有≥1路RS-485接口，支持一台摄像机实现摄像跟踪。具有≥1路消防报警联动触发接口，在消防紧急状况下可为会议主机面板触摸屏、单元机屏、PC软件提供火灾报警信息。具有≥1路平衡信号和≥1路非平衡信号输入接口，≥1路平衡信号和≥1路非平衡信号输出接口。</w:t>
            </w:r>
            <w:r>
              <w:rPr>
                <w:rFonts w:hint="eastAsia" w:ascii="宋体" w:hAnsi="宋体" w:cs="宋体"/>
                <w:kern w:val="0"/>
                <w:sz w:val="24"/>
                <w:szCs w:val="24"/>
                <w:lang w:bidi="ar"/>
              </w:rPr>
              <w:br w:type="textWrapping"/>
            </w:r>
            <w:r>
              <w:rPr>
                <w:rFonts w:hint="eastAsia" w:ascii="宋体" w:hAnsi="宋体" w:cs="宋体"/>
                <w:kern w:val="0"/>
                <w:sz w:val="24"/>
                <w:szCs w:val="24"/>
                <w:lang w:bidi="ar"/>
              </w:rPr>
              <w:t>7.PC软件端可查看无线单元的电池电量、WiFi信号等信息状态。支持中英文语言界面切换。</w:t>
            </w:r>
            <w:r>
              <w:rPr>
                <w:rFonts w:hint="eastAsia" w:ascii="宋体" w:hAnsi="宋体" w:cs="宋体"/>
                <w:kern w:val="0"/>
                <w:sz w:val="24"/>
                <w:szCs w:val="24"/>
                <w:lang w:bidi="ar"/>
              </w:rPr>
              <w:br w:type="textWrapping"/>
            </w:r>
            <w:r>
              <w:rPr>
                <w:rFonts w:hint="eastAsia" w:ascii="宋体" w:hAnsi="宋体" w:cs="宋体"/>
                <w:kern w:val="0"/>
                <w:sz w:val="24"/>
                <w:szCs w:val="24"/>
                <w:lang w:bidi="ar"/>
              </w:rPr>
              <w:t>8.具有丰富的会议应用功能，支持投票表决功能、会议签到功能、5段EQ调节功能、广播短消息、茶水申请服务等，支持会议信息导出，满足日常会议应用所需。</w:t>
            </w:r>
            <w:r>
              <w:rPr>
                <w:rFonts w:hint="eastAsia" w:ascii="宋体" w:hAnsi="宋体" w:cs="宋体"/>
                <w:kern w:val="0"/>
                <w:sz w:val="24"/>
                <w:szCs w:val="24"/>
                <w:lang w:bidi="ar"/>
              </w:rPr>
              <w:br w:type="textWrapping"/>
            </w:r>
            <w:r>
              <w:rPr>
                <w:rFonts w:hint="eastAsia" w:ascii="宋体" w:hAnsi="宋体" w:cs="宋体"/>
                <w:kern w:val="0"/>
                <w:sz w:val="24"/>
                <w:szCs w:val="24"/>
                <w:lang w:bidi="ar"/>
              </w:rPr>
              <w:t>9.频率响应范围20Hz~20KHz，总谐波失真&lt;0.05%，信噪比&gt;85dB(A)，动态范围&gt;80dB。</w:t>
            </w:r>
            <w:r>
              <w:rPr>
                <w:rFonts w:hint="eastAsia" w:ascii="宋体" w:hAnsi="宋体" w:cs="宋体"/>
                <w:kern w:val="0"/>
                <w:sz w:val="24"/>
                <w:szCs w:val="24"/>
                <w:lang w:bidi="ar"/>
              </w:rPr>
              <w:br w:type="textWrapping"/>
            </w:r>
            <w:r>
              <w:rPr>
                <w:rFonts w:hint="eastAsia" w:ascii="宋体" w:hAnsi="宋体" w:cs="宋体"/>
                <w:strike w:val="0"/>
                <w:dstrike w:val="0"/>
                <w:kern w:val="0"/>
                <w:sz w:val="24"/>
                <w:szCs w:val="24"/>
                <w:lang w:bidi="ar"/>
              </w:rPr>
              <w:t>★10.投标时须提供具有</w:t>
            </w:r>
            <w:r>
              <w:rPr>
                <w:rFonts w:ascii="宋体" w:hAnsi="宋体" w:cs="宋体"/>
                <w:strike w:val="0"/>
                <w:dstrike w:val="0"/>
                <w:kern w:val="0"/>
                <w:sz w:val="24"/>
                <w:szCs w:val="24"/>
                <w:lang w:bidi="ar"/>
              </w:rPr>
              <w:t>CNAS</w:t>
            </w:r>
            <w:r>
              <w:rPr>
                <w:rFonts w:hint="eastAsia" w:ascii="宋体" w:hAnsi="宋体" w:cs="宋体"/>
                <w:strike w:val="0"/>
                <w:dstrike w:val="0"/>
                <w:kern w:val="0"/>
                <w:sz w:val="24"/>
                <w:szCs w:val="24"/>
                <w:lang w:bidi="ar"/>
              </w:rPr>
              <w:t>、</w:t>
            </w:r>
            <w:r>
              <w:rPr>
                <w:rFonts w:ascii="宋体" w:hAnsi="宋体" w:cs="宋体"/>
                <w:strike w:val="0"/>
                <w:dstrike w:val="0"/>
                <w:kern w:val="0"/>
                <w:sz w:val="24"/>
                <w:szCs w:val="24"/>
                <w:lang w:bidi="ar"/>
              </w:rPr>
              <w:t>CMA</w:t>
            </w:r>
            <w:r>
              <w:rPr>
                <w:rFonts w:hint="eastAsia" w:ascii="宋体" w:hAnsi="宋体" w:cs="宋体"/>
                <w:strike w:val="0"/>
                <w:dstrike w:val="0"/>
                <w:kern w:val="0"/>
                <w:sz w:val="24"/>
                <w:szCs w:val="24"/>
                <w:lang w:bidi="ar"/>
              </w:rPr>
              <w:t>、ilac</w:t>
            </w:r>
            <w:r>
              <w:rPr>
                <w:rFonts w:ascii="宋体" w:hAnsi="宋体" w:cs="宋体"/>
                <w:strike w:val="0"/>
                <w:dstrike w:val="0"/>
                <w:kern w:val="0"/>
                <w:sz w:val="24"/>
                <w:szCs w:val="24"/>
                <w:lang w:bidi="ar"/>
              </w:rPr>
              <w:t>-MRA</w:t>
            </w:r>
            <w:r>
              <w:rPr>
                <w:rFonts w:hint="eastAsia" w:ascii="宋体" w:hAnsi="宋体" w:cs="宋体"/>
                <w:strike w:val="0"/>
                <w:dstrike w:val="0"/>
                <w:kern w:val="0"/>
                <w:sz w:val="24"/>
                <w:szCs w:val="24"/>
                <w:lang w:bidi="ar"/>
              </w:rPr>
              <w:t>标识的第三方正规权威检验机构出具的产品检验报告复印件并加盖生产厂商公章（检验报告内容必须满足上述所有参数功能要求）</w:t>
            </w:r>
            <w:r>
              <w:rPr>
                <w:rFonts w:hint="eastAsia" w:ascii="宋体" w:hAnsi="宋体" w:cs="宋体"/>
                <w:kern w:val="0"/>
                <w:sz w:val="24"/>
                <w:szCs w:val="24"/>
                <w:lang w:bidi="ar"/>
              </w:rPr>
              <w:t>。</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8</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全数字会议系统音频传输内嵌软件</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1.软件内嵌于会议系统主机设备，应用于对全数字会议系统音频传输软件的管理或控制。</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2.支持中英文语言管理界面。</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3.支持同声传译功能。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4.内置DSP音频处理技术，支持EQ均衡调节音频处理能力。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5.支持48KHz采样率音频处理能力。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6.软件支持根据话筒ID提供不同的代码编号给中控系统，与中控系统对接后，可实现摄像自动跟踪功能。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7.支持话筒管理能力，通过不同的模式限制话筒发言数量，保障会场发言秩序。</w:t>
            </w:r>
            <w:r>
              <w:rPr>
                <w:rFonts w:hint="eastAsia" w:ascii="宋体" w:hAnsi="宋体" w:cs="宋体"/>
                <w:kern w:val="0"/>
                <w:sz w:val="24"/>
                <w:szCs w:val="24"/>
                <w:lang w:bidi="ar"/>
              </w:rPr>
              <w:br w:type="textWrapping"/>
            </w:r>
            <w:r>
              <w:rPr>
                <w:rFonts w:hint="eastAsia" w:ascii="宋体" w:hAnsi="宋体" w:cs="宋体"/>
                <w:strike w:val="0"/>
                <w:dstrike w:val="0"/>
                <w:color w:val="auto"/>
                <w:kern w:val="0"/>
                <w:sz w:val="24"/>
                <w:szCs w:val="24"/>
                <w:lang w:bidi="ar"/>
              </w:rPr>
              <w:t>★8.所投设备厂家获得“软件能力成熟度集成模型CMMI3"证书，提供证书复印件并加盖生产厂商公章并要求官方可查。</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9</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会议话筒</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1.桌面式话筒采用心型指向性驻极体麦克风，支持声控功能。内部具有DSP音频处理；采用100M网络传输，实现手拉手级联。</w:t>
            </w:r>
            <w:r>
              <w:rPr>
                <w:rFonts w:hint="eastAsia" w:ascii="宋体" w:hAnsi="宋体" w:cs="宋体"/>
                <w:kern w:val="0"/>
                <w:sz w:val="24"/>
                <w:szCs w:val="24"/>
                <w:lang w:bidi="ar"/>
              </w:rPr>
              <w:br w:type="textWrapping"/>
            </w:r>
            <w:r>
              <w:rPr>
                <w:rFonts w:hint="eastAsia" w:ascii="宋体" w:hAnsi="宋体" w:cs="宋体"/>
                <w:kern w:val="0"/>
                <w:sz w:val="24"/>
                <w:szCs w:val="24"/>
                <w:lang w:bidi="ar"/>
              </w:rPr>
              <w:t>2.具有≥4.3英寸触摸屏，支持茶水服务功能。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3.支持触摸按键签到功能。支持表决评级选举功能，支持五键选举/三键表决，主席机支持发起投票、签到功能；支持签到、表决状态实时显示，后台同步显示。</w:t>
            </w:r>
            <w:r>
              <w:rPr>
                <w:rFonts w:hint="eastAsia" w:ascii="宋体" w:hAnsi="宋体" w:cs="宋体"/>
                <w:kern w:val="0"/>
                <w:sz w:val="24"/>
                <w:szCs w:val="24"/>
                <w:lang w:bidi="ar"/>
              </w:rPr>
              <w:br w:type="textWrapping"/>
            </w:r>
            <w:r>
              <w:rPr>
                <w:rFonts w:hint="eastAsia" w:ascii="宋体" w:hAnsi="宋体" w:cs="宋体"/>
                <w:kern w:val="0"/>
                <w:sz w:val="24"/>
                <w:szCs w:val="24"/>
                <w:lang w:bidi="ar"/>
              </w:rPr>
              <w:t>4.单元具有自动编ID功能，支持同声传译功能可选择接收语言通道，出厂默认为15+1，可选配31+1，63+1。</w:t>
            </w:r>
            <w:r>
              <w:rPr>
                <w:rFonts w:hint="eastAsia" w:ascii="宋体" w:hAnsi="宋体" w:cs="宋体"/>
                <w:kern w:val="0"/>
                <w:sz w:val="24"/>
                <w:szCs w:val="24"/>
                <w:lang w:bidi="ar"/>
              </w:rPr>
              <w:br w:type="textWrapping"/>
            </w:r>
            <w:r>
              <w:rPr>
                <w:rFonts w:hint="eastAsia" w:ascii="宋体" w:hAnsi="宋体" w:cs="宋体"/>
                <w:kern w:val="0"/>
                <w:sz w:val="24"/>
                <w:szCs w:val="24"/>
                <w:lang w:bidi="ar"/>
              </w:rPr>
              <w:t>5.主席单元具有计时发言功能 ，发言时间不受限制；代表机具有申请发言功能，主席可批准申请人发言；单元具备优先权功能，可关闭正在发言的所有代表话筒。</w:t>
            </w:r>
            <w:r>
              <w:rPr>
                <w:rFonts w:hint="eastAsia" w:ascii="宋体" w:hAnsi="宋体" w:cs="宋体"/>
                <w:kern w:val="0"/>
                <w:sz w:val="24"/>
                <w:szCs w:val="24"/>
                <w:lang w:bidi="ar"/>
              </w:rPr>
              <w:br w:type="textWrapping"/>
            </w:r>
            <w:r>
              <w:rPr>
                <w:rFonts w:hint="eastAsia" w:ascii="宋体" w:hAnsi="宋体" w:cs="宋体"/>
                <w:kern w:val="0"/>
                <w:sz w:val="24"/>
                <w:szCs w:val="24"/>
                <w:lang w:bidi="ar"/>
              </w:rPr>
              <w:t>6.具有3.5mm输出插座，可做录音及连接耳机用。咪杆高度（或长度）≤409mm</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7.支持5段EQ调节功能，后台软件可针对发言者的声音特点调节不同的音效。</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p>
            <w:pPr>
              <w:pStyle w:val="2"/>
              <w:rPr>
                <w:rFonts w:hint="eastAsia"/>
              </w:rPr>
            </w:pPr>
          </w:p>
          <w:p>
            <w:pPr>
              <w:widowControl/>
              <w:textAlignment w:val="center"/>
              <w:rPr>
                <w:rFonts w:hint="eastAsia" w:ascii="宋体" w:hAnsi="宋体" w:cs="宋体"/>
                <w:sz w:val="24"/>
                <w:szCs w:val="24"/>
              </w:rPr>
            </w:pPr>
            <w:r>
              <w:rPr>
                <w:rFonts w:hint="eastAsia" w:ascii="宋体" w:hAnsi="宋体" w:cs="宋体"/>
                <w:kern w:val="0"/>
                <w:sz w:val="24"/>
                <w:szCs w:val="24"/>
                <w:lang w:bidi="ar"/>
              </w:rPr>
              <w:t>（该话筒为主席台总控，可以控制其他话筒禁言）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0</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会议话筒</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1.桌面式话筒采用心型指向性驻极体麦克风，支持声控功能。内部具有DSP音频处理；采用100M网络传输，实现手拉手级联。</w:t>
            </w:r>
            <w:r>
              <w:rPr>
                <w:rFonts w:hint="eastAsia" w:ascii="宋体" w:hAnsi="宋体" w:cs="宋体"/>
                <w:kern w:val="0"/>
                <w:sz w:val="24"/>
                <w:szCs w:val="24"/>
                <w:lang w:bidi="ar"/>
              </w:rPr>
              <w:br w:type="textWrapping"/>
            </w:r>
            <w:r>
              <w:rPr>
                <w:rFonts w:hint="eastAsia" w:ascii="宋体" w:hAnsi="宋体" w:cs="宋体"/>
                <w:kern w:val="0"/>
                <w:sz w:val="24"/>
                <w:szCs w:val="24"/>
                <w:lang w:bidi="ar"/>
              </w:rPr>
              <w:t>★2.具有≥4.3英寸触摸屏，支持茶水服务功能。（需提供证明满足此功能的具有</w:t>
            </w:r>
            <w:r>
              <w:rPr>
                <w:rFonts w:ascii="宋体" w:hAnsi="宋体" w:cs="宋体"/>
                <w:kern w:val="0"/>
                <w:sz w:val="24"/>
                <w:szCs w:val="24"/>
                <w:lang w:bidi="ar"/>
              </w:rPr>
              <w:t>CNAS</w:t>
            </w:r>
            <w:r>
              <w:rPr>
                <w:rFonts w:hint="eastAsia" w:ascii="宋体" w:hAnsi="宋体" w:cs="宋体"/>
                <w:kern w:val="0"/>
                <w:sz w:val="24"/>
                <w:szCs w:val="24"/>
                <w:lang w:bidi="ar"/>
              </w:rPr>
              <w:t>、</w:t>
            </w:r>
            <w:r>
              <w:rPr>
                <w:rFonts w:ascii="宋体" w:hAnsi="宋体" w:cs="宋体"/>
                <w:kern w:val="0"/>
                <w:sz w:val="24"/>
                <w:szCs w:val="24"/>
                <w:lang w:bidi="ar"/>
              </w:rPr>
              <w:t>CMA</w:t>
            </w:r>
            <w:r>
              <w:rPr>
                <w:rFonts w:hint="eastAsia" w:ascii="宋体" w:hAnsi="宋体" w:cs="宋体"/>
                <w:kern w:val="0"/>
                <w:sz w:val="24"/>
                <w:szCs w:val="24"/>
                <w:lang w:bidi="ar"/>
              </w:rPr>
              <w:t>、ilac</w:t>
            </w:r>
            <w:r>
              <w:rPr>
                <w:rFonts w:ascii="宋体" w:hAnsi="宋体" w:cs="宋体"/>
                <w:kern w:val="0"/>
                <w:sz w:val="24"/>
                <w:szCs w:val="24"/>
                <w:lang w:bidi="ar"/>
              </w:rPr>
              <w:t>-MRA</w:t>
            </w:r>
            <w:r>
              <w:rPr>
                <w:rFonts w:hint="eastAsia" w:ascii="宋体" w:hAnsi="宋体" w:cs="宋体"/>
                <w:kern w:val="0"/>
                <w:sz w:val="24"/>
                <w:szCs w:val="24"/>
                <w:lang w:bidi="ar"/>
              </w:rPr>
              <w:t>标识的第三方正规权威检测机构出具的检验报告，并盖生产厂商公章）</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★3.支持触摸按键签到功能。支持表决评级选举功能，支持五键选举/三键表决；支持签到、表决状态实时显示，后台同步显示。（需提供证明满足此功能的具有</w:t>
            </w:r>
            <w:r>
              <w:rPr>
                <w:rFonts w:ascii="宋体" w:hAnsi="宋体" w:cs="宋体"/>
                <w:kern w:val="0"/>
                <w:sz w:val="24"/>
                <w:szCs w:val="24"/>
                <w:lang w:bidi="ar"/>
              </w:rPr>
              <w:t>CNAS</w:t>
            </w:r>
            <w:r>
              <w:rPr>
                <w:rFonts w:hint="eastAsia" w:ascii="宋体" w:hAnsi="宋体" w:cs="宋体"/>
                <w:kern w:val="0"/>
                <w:sz w:val="24"/>
                <w:szCs w:val="24"/>
                <w:lang w:bidi="ar"/>
              </w:rPr>
              <w:t>、</w:t>
            </w:r>
            <w:r>
              <w:rPr>
                <w:rFonts w:ascii="宋体" w:hAnsi="宋体" w:cs="宋体"/>
                <w:kern w:val="0"/>
                <w:sz w:val="24"/>
                <w:szCs w:val="24"/>
                <w:lang w:bidi="ar"/>
              </w:rPr>
              <w:t>CMA</w:t>
            </w:r>
            <w:r>
              <w:rPr>
                <w:rFonts w:hint="eastAsia" w:ascii="宋体" w:hAnsi="宋体" w:cs="宋体"/>
                <w:kern w:val="0"/>
                <w:sz w:val="24"/>
                <w:szCs w:val="24"/>
                <w:lang w:bidi="ar"/>
              </w:rPr>
              <w:t>、ilac</w:t>
            </w:r>
            <w:r>
              <w:rPr>
                <w:rFonts w:ascii="宋体" w:hAnsi="宋体" w:cs="宋体"/>
                <w:kern w:val="0"/>
                <w:sz w:val="24"/>
                <w:szCs w:val="24"/>
                <w:lang w:bidi="ar"/>
              </w:rPr>
              <w:t>-MRA</w:t>
            </w:r>
            <w:r>
              <w:rPr>
                <w:rFonts w:hint="eastAsia" w:ascii="宋体" w:hAnsi="宋体" w:cs="宋体"/>
                <w:kern w:val="0"/>
                <w:sz w:val="24"/>
                <w:szCs w:val="24"/>
                <w:lang w:bidi="ar"/>
              </w:rPr>
              <w:t>标识的第三方正规权威检测机构出具的检验报告，并盖生产厂商公章）</w:t>
            </w:r>
            <w:r>
              <w:rPr>
                <w:rFonts w:hint="eastAsia" w:ascii="宋体" w:hAnsi="宋体" w:cs="宋体"/>
                <w:kern w:val="0"/>
                <w:sz w:val="24"/>
                <w:szCs w:val="24"/>
                <w:lang w:bidi="ar"/>
              </w:rPr>
              <w:br w:type="textWrapping"/>
            </w:r>
            <w:r>
              <w:rPr>
                <w:rFonts w:hint="eastAsia" w:ascii="宋体" w:hAnsi="宋体" w:cs="宋体"/>
                <w:kern w:val="0"/>
                <w:sz w:val="24"/>
                <w:szCs w:val="24"/>
                <w:lang w:bidi="ar"/>
              </w:rPr>
              <w:t>4.单元具有自动编ID功能，支持同声传译功能可选择接收语言通道，出厂默认为15+1，可选配31+1，63+1。</w:t>
            </w:r>
            <w:r>
              <w:rPr>
                <w:rFonts w:hint="eastAsia" w:ascii="宋体" w:hAnsi="宋体" w:cs="宋体"/>
                <w:kern w:val="0"/>
                <w:sz w:val="24"/>
                <w:szCs w:val="24"/>
                <w:lang w:bidi="ar"/>
              </w:rPr>
              <w:br w:type="textWrapping"/>
            </w:r>
            <w:r>
              <w:rPr>
                <w:rFonts w:hint="eastAsia" w:ascii="宋体" w:hAnsi="宋体" w:cs="宋体"/>
                <w:kern w:val="0"/>
                <w:sz w:val="24"/>
                <w:szCs w:val="24"/>
                <w:lang w:bidi="ar"/>
              </w:rPr>
              <w:t>5.代表单元具有计时发言功能 ，发言时间不受限制；代表机具有申请发言功能，主席可批准申请人发言。</w:t>
            </w:r>
            <w:r>
              <w:rPr>
                <w:rFonts w:hint="eastAsia" w:ascii="宋体" w:hAnsi="宋体" w:cs="宋体"/>
                <w:kern w:val="0"/>
                <w:sz w:val="24"/>
                <w:szCs w:val="24"/>
                <w:lang w:bidi="ar"/>
              </w:rPr>
              <w:br w:type="textWrapping"/>
            </w:r>
            <w:r>
              <w:rPr>
                <w:rFonts w:hint="eastAsia" w:ascii="宋体" w:hAnsi="宋体" w:cs="宋体"/>
                <w:kern w:val="0"/>
                <w:sz w:val="24"/>
                <w:szCs w:val="24"/>
                <w:lang w:bidi="ar"/>
              </w:rPr>
              <w:t>6.具有3.5mm输出插座，可做录音及连接耳机用。咪杆高度（或长度）≤409mm</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7.支持5段EQ调节功能，后台软件可针对发言者的声音特点调节不同的音效。</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ascii="宋体" w:hAnsi="宋体" w:cs="宋体"/>
                <w:kern w:val="0"/>
                <w:sz w:val="24"/>
                <w:szCs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无线话筒</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1.频率指标：640-690MHz,740-790MHz，调制方式：宽带FM，频道数目：200个频道。</w:t>
            </w:r>
            <w:r>
              <w:rPr>
                <w:rFonts w:hint="eastAsia" w:ascii="宋体" w:hAnsi="宋体" w:cs="宋体"/>
                <w:kern w:val="0"/>
                <w:sz w:val="24"/>
                <w:szCs w:val="24"/>
                <w:lang w:bidi="ar"/>
              </w:rPr>
              <w:br w:type="textWrapping"/>
            </w:r>
            <w:r>
              <w:rPr>
                <w:rFonts w:hint="eastAsia" w:ascii="宋体" w:hAnsi="宋体" w:cs="宋体"/>
                <w:kern w:val="0"/>
                <w:sz w:val="24"/>
                <w:szCs w:val="24"/>
                <w:lang w:bidi="ar"/>
              </w:rPr>
              <w:t>2.配套有1台接收主机和2个无线手持话筒。</w:t>
            </w:r>
            <w:r>
              <w:rPr>
                <w:rFonts w:hint="eastAsia" w:ascii="宋体" w:hAnsi="宋体" w:cs="宋体"/>
                <w:kern w:val="0"/>
                <w:sz w:val="24"/>
                <w:szCs w:val="24"/>
                <w:lang w:bidi="ar"/>
              </w:rPr>
              <w:br w:type="textWrapping"/>
            </w:r>
            <w:r>
              <w:rPr>
                <w:rFonts w:hint="eastAsia" w:ascii="宋体" w:hAnsi="宋体" w:cs="宋体"/>
                <w:kern w:val="0"/>
                <w:sz w:val="24"/>
                <w:szCs w:val="24"/>
                <w:lang w:bidi="ar"/>
              </w:rPr>
              <w:t>3.采用UHF超高频段双真分集接收，并采用PLL锁相环多信道频率合成技术。</w:t>
            </w:r>
            <w:r>
              <w:rPr>
                <w:rFonts w:hint="eastAsia" w:ascii="宋体" w:hAnsi="宋体" w:cs="宋体"/>
                <w:kern w:val="0"/>
                <w:sz w:val="24"/>
                <w:szCs w:val="24"/>
                <w:lang w:bidi="ar"/>
              </w:rPr>
              <w:br w:type="textWrapping"/>
            </w:r>
            <w:r>
              <w:rPr>
                <w:rFonts w:hint="eastAsia" w:ascii="宋体" w:hAnsi="宋体" w:cs="宋体"/>
                <w:kern w:val="0"/>
                <w:sz w:val="24"/>
                <w:szCs w:val="24"/>
                <w:lang w:bidi="ar"/>
              </w:rPr>
              <w:t>4.接收机指标：采用自动选讯接收方式，灵敏度: 12dB μV（80dBS/N)，频率响应:40Hz-18KHz（±3dB）。</w:t>
            </w:r>
            <w:r>
              <w:rPr>
                <w:rFonts w:hint="eastAsia" w:ascii="宋体" w:hAnsi="宋体" w:cs="宋体"/>
                <w:kern w:val="0"/>
                <w:sz w:val="24"/>
                <w:szCs w:val="24"/>
                <w:lang w:bidi="ar"/>
              </w:rPr>
              <w:br w:type="textWrapping"/>
            </w:r>
            <w:r>
              <w:rPr>
                <w:rFonts w:hint="eastAsia" w:ascii="宋体" w:hAnsi="宋体" w:cs="宋体"/>
                <w:kern w:val="0"/>
                <w:sz w:val="24"/>
                <w:szCs w:val="24"/>
                <w:lang w:bidi="ar"/>
              </w:rPr>
              <w:t>5.发射机指标：音头采用动圈式麦克风；手持麦克风内置螺旋天线。</w:t>
            </w:r>
            <w:r>
              <w:rPr>
                <w:rFonts w:hint="eastAsia" w:ascii="宋体" w:hAnsi="宋体" w:cs="宋体"/>
                <w:kern w:val="0"/>
                <w:sz w:val="24"/>
                <w:szCs w:val="24"/>
                <w:lang w:bidi="ar"/>
              </w:rPr>
              <w:br w:type="textWrapping"/>
            </w:r>
            <w:r>
              <w:rPr>
                <w:rFonts w:hint="eastAsia" w:ascii="宋体" w:hAnsi="宋体" w:cs="宋体"/>
                <w:kern w:val="0"/>
                <w:sz w:val="24"/>
                <w:szCs w:val="24"/>
                <w:lang w:bidi="ar"/>
              </w:rPr>
              <w:t>6.输出功率:30mW。</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r>
              <w:rPr>
                <w:rFonts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有源音箱</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1.有源音箱内置高保真扬声器，额定输出功率支持2×25W，支持4-8Ω输出阻抗。</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2.支持≥1路话筒和≥1路立体声线路输入接口、1路立体声线路输出接口，带默音功能，话筒优先于线路输入。具有1个麦克风音量调节，1个线路输入音量调节，2个高低音调节。</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3.支持100V广播输入接口。</w:t>
            </w:r>
            <w:r>
              <w:rPr>
                <w:rFonts w:hint="eastAsia" w:ascii="宋体" w:hAnsi="宋体" w:cs="宋体"/>
                <w:kern w:val="0"/>
                <w:sz w:val="24"/>
                <w:szCs w:val="24"/>
                <w:lang w:bidi="ar"/>
              </w:rPr>
              <w:br w:type="textWrapping"/>
            </w:r>
            <w:r>
              <w:rPr>
                <w:rFonts w:hint="eastAsia" w:ascii="宋体" w:hAnsi="宋体" w:cs="宋体"/>
                <w:kern w:val="0"/>
                <w:sz w:val="24"/>
                <w:szCs w:val="24"/>
                <w:lang w:bidi="ar"/>
              </w:rPr>
              <w:t>4.具有输出过载、过压、短路保护。</w:t>
            </w:r>
            <w:r>
              <w:rPr>
                <w:rFonts w:hint="eastAsia" w:ascii="宋体" w:hAnsi="宋体" w:cs="宋体"/>
                <w:kern w:val="0"/>
                <w:sz w:val="24"/>
                <w:szCs w:val="24"/>
                <w:lang w:bidi="ar"/>
              </w:rPr>
              <w:br w:type="textWrapping"/>
            </w:r>
            <w:r>
              <w:rPr>
                <w:rFonts w:hint="eastAsia" w:ascii="宋体" w:hAnsi="宋体" w:cs="宋体"/>
                <w:kern w:val="0"/>
                <w:sz w:val="24"/>
                <w:szCs w:val="24"/>
                <w:lang w:bidi="ar"/>
              </w:rPr>
              <w:t>5.信噪比≥70dB，频率响应 40Hz~20KHz(≤±3dB)，谐波失真≤1%。</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r>
              <w:rPr>
                <w:rFonts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电源管理器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1.支持8通道电源时序打开/关闭，支持远程控制（上电+24V直流信号）8通道电源时序打开/关闭—当电源开关锁处于off位置时有效。支持配置CH1和CH2通道为受控或不受控状态。</w:t>
            </w:r>
            <w:r>
              <w:rPr>
                <w:rFonts w:hint="eastAsia" w:ascii="宋体" w:hAnsi="宋体" w:cs="宋体"/>
                <w:kern w:val="0"/>
                <w:sz w:val="24"/>
                <w:szCs w:val="24"/>
                <w:lang w:bidi="ar"/>
              </w:rPr>
              <w:br w:type="textWrapping"/>
            </w:r>
            <w:r>
              <w:rPr>
                <w:rFonts w:hint="eastAsia" w:ascii="宋体" w:hAnsi="宋体" w:cs="宋体"/>
                <w:kern w:val="0"/>
                <w:sz w:val="24"/>
                <w:szCs w:val="24"/>
                <w:lang w:bidi="ar"/>
              </w:rPr>
              <w:t>2.当远程控制有效时同时控制后板ALARM（报警）端口导通—起到级联控制ALARM（报警）功能。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3.单个通道最大负载功率3500W，所有通道负载总功率达6000W，输入连接器：大功率线码式电源连接器。 </w:t>
            </w:r>
            <w:r>
              <w:rPr>
                <w:rFonts w:hint="eastAsia" w:ascii="宋体" w:hAnsi="宋体" w:cs="宋体"/>
                <w:kern w:val="0"/>
                <w:sz w:val="24"/>
                <w:szCs w:val="24"/>
                <w:lang w:bidi="ar"/>
              </w:rPr>
              <w:br w:type="textWrapping"/>
            </w:r>
            <w:r>
              <w:rPr>
                <w:rFonts w:hint="eastAsia" w:ascii="宋体" w:hAnsi="宋体" w:cs="宋体"/>
                <w:kern w:val="0"/>
                <w:sz w:val="24"/>
                <w:szCs w:val="24"/>
                <w:lang w:bidi="ar"/>
              </w:rPr>
              <w:t>4.输出连接器：4个16A电源插座和4个10A电源插座。</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r>
              <w:rPr>
                <w:rFonts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音频连接线</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根据设备所需配套连接线</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r>
              <w:rPr>
                <w:rFonts w:ascii="宋体" w:hAnsi="宋体" w:cs="宋体"/>
                <w:kern w:val="0"/>
                <w:sz w:val="24"/>
                <w:szCs w:val="24"/>
                <w:lang w:bidi="ar"/>
              </w:rPr>
              <w:t>5</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机柜</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600*600*2000</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黑体" w:hAnsi="黑体" w:eastAsia="黑体" w:cs="黑体"/>
                <w:b/>
                <w:bCs/>
                <w:kern w:val="0"/>
                <w:sz w:val="32"/>
                <w:szCs w:val="32"/>
                <w:lang w:bidi="ar"/>
              </w:rPr>
              <w:t>二、7楼会议室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28"/>
                <w:szCs w:val="28"/>
                <w:lang w:bidi="ar"/>
              </w:rPr>
              <w:t>（一）、数字会议系统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会议系统主机</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采用5GHz的通信频段，拥有更强的抗干扰能力，提供更大的带宽和传输速度，并不受移动电话和其他蓝牙设备干扰，确保实现最佳的信号接收。采用128位AES加密技术，支持WPA/WPA2无线安全技术，防止窃听和非授权访问，提供更高的会议系统机密性。</w:t>
            </w:r>
            <w:r>
              <w:rPr>
                <w:rFonts w:hint="eastAsia" w:ascii="宋体" w:hAnsi="宋体" w:cs="宋体"/>
                <w:kern w:val="0"/>
                <w:sz w:val="24"/>
                <w:szCs w:val="24"/>
                <w:lang w:bidi="ar"/>
              </w:rPr>
              <w:br w:type="textWrapping"/>
            </w:r>
            <w:r>
              <w:rPr>
                <w:rFonts w:hint="eastAsia" w:ascii="宋体" w:hAnsi="宋体" w:cs="宋体"/>
                <w:kern w:val="0"/>
                <w:sz w:val="24"/>
                <w:szCs w:val="24"/>
                <w:lang w:bidi="ar"/>
              </w:rPr>
              <w:t>2.内置高性能双CPU处理器，超强的处理能力，内核具有28/56位、50MIPS数字音频DSP处理器，立体声音频ADC和DAC，支持8KHz至96KHz范围内的采样速率，并支持数字音量控制。</w:t>
            </w:r>
            <w:r>
              <w:rPr>
                <w:rFonts w:hint="eastAsia" w:ascii="宋体" w:hAnsi="宋体" w:cs="宋体"/>
                <w:kern w:val="0"/>
                <w:sz w:val="24"/>
                <w:szCs w:val="24"/>
                <w:lang w:bidi="ar"/>
              </w:rPr>
              <w:br w:type="textWrapping"/>
            </w:r>
            <w:r>
              <w:rPr>
                <w:rFonts w:hint="eastAsia" w:ascii="宋体" w:hAnsi="宋体" w:cs="宋体"/>
                <w:kern w:val="0"/>
                <w:sz w:val="24"/>
                <w:szCs w:val="24"/>
                <w:lang w:bidi="ar"/>
              </w:rPr>
              <w:t>3.具有≥4.3英寸触摸屏，具有WIFI网络接口，可以通过连接POE网络交换机扩充无线AP数量，提供更大的无线覆盖范围。具有1-4路会议单元输出接口，具有超大系统容量，系统最大支持≥4096台有线会议单元，≥300台无线会议单元。系统最大支持同时开≥8个有线话筒和≥6个无线话筒。</w:t>
            </w:r>
            <w:r>
              <w:rPr>
                <w:rFonts w:hint="eastAsia" w:ascii="宋体" w:hAnsi="宋体" w:cs="宋体"/>
                <w:kern w:val="0"/>
                <w:sz w:val="24"/>
                <w:szCs w:val="24"/>
                <w:lang w:bidi="ar"/>
              </w:rPr>
              <w:br w:type="textWrapping"/>
            </w:r>
            <w:r>
              <w:rPr>
                <w:rFonts w:hint="eastAsia" w:ascii="宋体" w:hAnsi="宋体" w:cs="宋体"/>
                <w:kern w:val="0"/>
                <w:sz w:val="24"/>
                <w:szCs w:val="24"/>
                <w:lang w:bidi="ar"/>
              </w:rPr>
              <w:t>4.支持WiFi会议系统和全数字会议系统同时使用（有线会议单元和WiFi会议单元同时使用）。具有一键关机所有无线单元功能。具有1路USB接口，支持插入U盘设备进行录音功能，支持播放背景音乐功能。具有≥两路功放输出接口，可接驳两个2*25W的定阻音箱。</w:t>
            </w:r>
            <w:r>
              <w:rPr>
                <w:rFonts w:hint="eastAsia" w:ascii="宋体" w:hAnsi="宋体" w:cs="宋体"/>
                <w:kern w:val="0"/>
                <w:sz w:val="24"/>
                <w:szCs w:val="24"/>
                <w:lang w:bidi="ar"/>
              </w:rPr>
              <w:br w:type="textWrapping"/>
            </w:r>
            <w:r>
              <w:rPr>
                <w:rFonts w:hint="eastAsia" w:ascii="宋体" w:hAnsi="宋体" w:cs="宋体"/>
                <w:kern w:val="0"/>
                <w:sz w:val="24"/>
                <w:szCs w:val="24"/>
                <w:lang w:bidi="ar"/>
              </w:rPr>
              <w:t>5.遵循规范：IEC60914，兼容GBT15381-94标准；支持同声传译功能，支持四种话筒管理模式：FIFO/NORMAL/VOICE(声控)/APPLY。具有1路EXTENSION 口，可用于连接扩展主机。</w:t>
            </w:r>
            <w:r>
              <w:rPr>
                <w:rFonts w:hint="eastAsia" w:ascii="宋体" w:hAnsi="宋体" w:cs="宋体"/>
                <w:kern w:val="0"/>
                <w:sz w:val="24"/>
                <w:szCs w:val="24"/>
                <w:lang w:bidi="ar"/>
              </w:rPr>
              <w:br w:type="textWrapping"/>
            </w:r>
            <w:r>
              <w:rPr>
                <w:rFonts w:hint="eastAsia" w:ascii="宋体" w:hAnsi="宋体" w:cs="宋体"/>
                <w:kern w:val="0"/>
                <w:sz w:val="24"/>
                <w:szCs w:val="24"/>
                <w:lang w:bidi="ar"/>
              </w:rPr>
              <w:t>6.具有≥1路RS-485接口，支持一台摄像机实现摄像跟踪。具有≥1路消防报警联动触发接口，在消防紧急状况下可为会议主机面板触摸屏、单元机屏、PC软件提供火灾报警信息。具有≥1路平衡信号和≥1路非平衡信号输入接口，≥1路平衡信号和≥1路非平衡信号输出接口。</w:t>
            </w:r>
            <w:r>
              <w:rPr>
                <w:rFonts w:hint="eastAsia" w:ascii="宋体" w:hAnsi="宋体" w:cs="宋体"/>
                <w:kern w:val="0"/>
                <w:sz w:val="24"/>
                <w:szCs w:val="24"/>
                <w:lang w:bidi="ar"/>
              </w:rPr>
              <w:br w:type="textWrapping"/>
            </w:r>
            <w:r>
              <w:rPr>
                <w:rFonts w:hint="eastAsia" w:ascii="宋体" w:hAnsi="宋体" w:cs="宋体"/>
                <w:kern w:val="0"/>
                <w:sz w:val="24"/>
                <w:szCs w:val="24"/>
                <w:lang w:bidi="ar"/>
              </w:rPr>
              <w:t>7.PC软件端可查看无线单元的电池电量、WiFi信号等信息状态。支持中英文语言界面切换。</w:t>
            </w:r>
            <w:r>
              <w:rPr>
                <w:rFonts w:hint="eastAsia" w:ascii="宋体" w:hAnsi="宋体" w:cs="宋体"/>
                <w:kern w:val="0"/>
                <w:sz w:val="24"/>
                <w:szCs w:val="24"/>
                <w:lang w:bidi="ar"/>
              </w:rPr>
              <w:br w:type="textWrapping"/>
            </w:r>
            <w:r>
              <w:rPr>
                <w:rFonts w:hint="eastAsia" w:ascii="宋体" w:hAnsi="宋体" w:cs="宋体"/>
                <w:kern w:val="0"/>
                <w:sz w:val="24"/>
                <w:szCs w:val="24"/>
                <w:lang w:bidi="ar"/>
              </w:rPr>
              <w:t>8.具有丰富的会议应用功能，支持投票表决功能、会议签到功能、5段EQ调节功能、广播短消息、茶水申请服务等，支持会议信息导出，满足日常会议应用所需。</w:t>
            </w:r>
            <w:r>
              <w:rPr>
                <w:rFonts w:hint="eastAsia" w:ascii="宋体" w:hAnsi="宋体" w:cs="宋体"/>
                <w:kern w:val="0"/>
                <w:sz w:val="24"/>
                <w:szCs w:val="24"/>
                <w:lang w:bidi="ar"/>
              </w:rPr>
              <w:br w:type="textWrapping"/>
            </w:r>
            <w:r>
              <w:rPr>
                <w:rFonts w:hint="eastAsia" w:ascii="宋体" w:hAnsi="宋体" w:cs="宋体"/>
                <w:kern w:val="0"/>
                <w:sz w:val="24"/>
                <w:szCs w:val="24"/>
                <w:lang w:bidi="ar"/>
              </w:rPr>
              <w:t>9.频率响应范围20Hz~20KHz，总谐波失真&lt;0.05%，信噪比&gt;85dB(A)，动态范围&gt;80dB。</w:t>
            </w:r>
            <w:r>
              <w:rPr>
                <w:rFonts w:hint="eastAsia" w:ascii="宋体" w:hAnsi="宋体" w:cs="宋体"/>
                <w:kern w:val="0"/>
                <w:sz w:val="24"/>
                <w:szCs w:val="24"/>
                <w:lang w:bidi="ar"/>
              </w:rPr>
              <w:br w:type="textWrapping"/>
            </w:r>
            <w:r>
              <w:rPr>
                <w:rFonts w:hint="eastAsia" w:ascii="宋体" w:hAnsi="宋体" w:cs="宋体"/>
                <w:kern w:val="0"/>
                <w:sz w:val="24"/>
                <w:szCs w:val="24"/>
                <w:lang w:bidi="ar"/>
              </w:rPr>
              <w:t>★10.</w:t>
            </w:r>
            <w:r>
              <w:rPr>
                <w:rFonts w:hint="eastAsia" w:ascii="宋体" w:hAnsi="宋体" w:cs="宋体"/>
                <w:strike w:val="0"/>
                <w:dstrike w:val="0"/>
                <w:color w:val="auto"/>
                <w:kern w:val="0"/>
                <w:sz w:val="24"/>
                <w:szCs w:val="24"/>
                <w:lang w:bidi="ar"/>
              </w:rPr>
              <w:t>投标时须提供具有</w:t>
            </w:r>
            <w:r>
              <w:rPr>
                <w:rFonts w:ascii="宋体" w:hAnsi="宋体" w:cs="宋体"/>
                <w:strike w:val="0"/>
                <w:dstrike w:val="0"/>
                <w:color w:val="auto"/>
                <w:kern w:val="0"/>
                <w:sz w:val="24"/>
                <w:szCs w:val="24"/>
                <w:lang w:bidi="ar"/>
              </w:rPr>
              <w:t>CNAS</w:t>
            </w:r>
            <w:r>
              <w:rPr>
                <w:rFonts w:hint="eastAsia" w:ascii="宋体" w:hAnsi="宋体" w:cs="宋体"/>
                <w:strike w:val="0"/>
                <w:dstrike w:val="0"/>
                <w:color w:val="auto"/>
                <w:kern w:val="0"/>
                <w:sz w:val="24"/>
                <w:szCs w:val="24"/>
                <w:lang w:bidi="ar"/>
              </w:rPr>
              <w:t>、</w:t>
            </w:r>
            <w:r>
              <w:rPr>
                <w:rFonts w:ascii="宋体" w:hAnsi="宋体" w:cs="宋体"/>
                <w:strike w:val="0"/>
                <w:dstrike w:val="0"/>
                <w:color w:val="auto"/>
                <w:kern w:val="0"/>
                <w:sz w:val="24"/>
                <w:szCs w:val="24"/>
                <w:lang w:bidi="ar"/>
              </w:rPr>
              <w:t>CMA</w:t>
            </w:r>
            <w:r>
              <w:rPr>
                <w:rFonts w:hint="eastAsia" w:ascii="宋体" w:hAnsi="宋体" w:cs="宋体"/>
                <w:strike w:val="0"/>
                <w:dstrike w:val="0"/>
                <w:color w:val="auto"/>
                <w:kern w:val="0"/>
                <w:sz w:val="24"/>
                <w:szCs w:val="24"/>
                <w:lang w:bidi="ar"/>
              </w:rPr>
              <w:t>、ilac</w:t>
            </w:r>
            <w:r>
              <w:rPr>
                <w:rFonts w:ascii="宋体" w:hAnsi="宋体" w:cs="宋体"/>
                <w:strike w:val="0"/>
                <w:dstrike w:val="0"/>
                <w:color w:val="auto"/>
                <w:kern w:val="0"/>
                <w:sz w:val="24"/>
                <w:szCs w:val="24"/>
                <w:lang w:bidi="ar"/>
              </w:rPr>
              <w:t>-MRA</w:t>
            </w:r>
            <w:r>
              <w:rPr>
                <w:rFonts w:hint="eastAsia" w:ascii="宋体" w:hAnsi="宋体" w:cs="宋体"/>
                <w:strike w:val="0"/>
                <w:dstrike w:val="0"/>
                <w:color w:val="auto"/>
                <w:kern w:val="0"/>
                <w:sz w:val="24"/>
                <w:szCs w:val="24"/>
                <w:lang w:bidi="ar"/>
              </w:rPr>
              <w:t>标识的第三方正规权威检验机构出具的产品检验报告复印件并加盖生产厂商公章（检验报告内容必须满足上述所有参数功能要求）</w:t>
            </w:r>
            <w:r>
              <w:rPr>
                <w:rFonts w:hint="eastAsia" w:ascii="宋体" w:hAnsi="宋体" w:cs="宋体"/>
                <w:strike w:val="0"/>
                <w:color w:val="auto"/>
                <w:kern w:val="0"/>
                <w:sz w:val="24"/>
                <w:szCs w:val="24"/>
                <w:lang w:bidi="ar"/>
              </w:rPr>
              <w:t>。</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全数字会议系统音频传输内嵌软件</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1.软件内嵌于会议系统主机设备，应用于对全数字会议系统音频传输软件的管理或控制。</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2.支持中英文语言管理界面。</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3.支持同声传译功能。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4.内置DSP音频处理技术，支持EQ均衡调节音频处理能力。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5.支持48KHz采样率音频处理能力。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6.软件支持根据话筒ID提供不同的代码编号给中控系统，与中控系统对接后，可实现摄像自动跟踪功能。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7.支持话筒管理能力，通过不同的模式限制话筒发言数量，保障会场发言秩序。</w:t>
            </w:r>
            <w:r>
              <w:rPr>
                <w:rFonts w:hint="eastAsia" w:ascii="宋体" w:hAnsi="宋体" w:cs="宋体"/>
                <w:kern w:val="0"/>
                <w:sz w:val="24"/>
                <w:szCs w:val="24"/>
                <w:lang w:bidi="ar"/>
              </w:rPr>
              <w:br w:type="textWrapping"/>
            </w:r>
            <w:r>
              <w:rPr>
                <w:rFonts w:hint="eastAsia" w:ascii="宋体" w:hAnsi="宋体" w:cs="宋体"/>
                <w:strike w:val="0"/>
                <w:dstrike w:val="0"/>
                <w:color w:val="auto"/>
                <w:kern w:val="0"/>
                <w:sz w:val="24"/>
                <w:szCs w:val="24"/>
                <w:lang w:bidi="ar"/>
              </w:rPr>
              <w:t>★8.所投设备厂家获得“软件能力成熟度集成模型CMMI3"证书，提供证书复印件并加盖生产厂商公章并要求官方可查。</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会议话筒</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1.桌面式话筒采用心型指向性驻极体麦克风，支持声控功能。内部具有DSP音频处理；采用100M网络传输，实现手拉手级联。</w:t>
            </w:r>
            <w:r>
              <w:rPr>
                <w:rFonts w:hint="eastAsia" w:ascii="宋体" w:hAnsi="宋体" w:cs="宋体"/>
                <w:kern w:val="0"/>
                <w:sz w:val="24"/>
                <w:szCs w:val="24"/>
                <w:lang w:bidi="ar"/>
              </w:rPr>
              <w:br w:type="textWrapping"/>
            </w:r>
            <w:r>
              <w:rPr>
                <w:rFonts w:hint="eastAsia" w:ascii="宋体" w:hAnsi="宋体" w:cs="宋体"/>
                <w:kern w:val="0"/>
                <w:sz w:val="24"/>
                <w:szCs w:val="24"/>
                <w:lang w:bidi="ar"/>
              </w:rPr>
              <w:t>2.具有≥4.3英寸触摸屏，支持茶水服务功能。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3.支持触摸按键签到功能。支持表决评级选举功能，支持五键选举/三键表决，主席机支持发起投票、签到功能；支持签到、表决状态实时显示，后台同步显示。</w:t>
            </w:r>
            <w:r>
              <w:rPr>
                <w:rFonts w:hint="eastAsia" w:ascii="宋体" w:hAnsi="宋体" w:cs="宋体"/>
                <w:kern w:val="0"/>
                <w:sz w:val="24"/>
                <w:szCs w:val="24"/>
                <w:lang w:bidi="ar"/>
              </w:rPr>
              <w:br w:type="textWrapping"/>
            </w:r>
            <w:r>
              <w:rPr>
                <w:rFonts w:hint="eastAsia" w:ascii="宋体" w:hAnsi="宋体" w:cs="宋体"/>
                <w:kern w:val="0"/>
                <w:sz w:val="24"/>
                <w:szCs w:val="24"/>
                <w:lang w:bidi="ar"/>
              </w:rPr>
              <w:t>4.单元具有自动编ID功能，支持同声传译功能可选择接收语言通道，出厂默认为15+1，可选配31+1，63+1。</w:t>
            </w:r>
            <w:r>
              <w:rPr>
                <w:rFonts w:hint="eastAsia" w:ascii="宋体" w:hAnsi="宋体" w:cs="宋体"/>
                <w:kern w:val="0"/>
                <w:sz w:val="24"/>
                <w:szCs w:val="24"/>
                <w:lang w:bidi="ar"/>
              </w:rPr>
              <w:br w:type="textWrapping"/>
            </w:r>
            <w:r>
              <w:rPr>
                <w:rFonts w:hint="eastAsia" w:ascii="宋体" w:hAnsi="宋体" w:cs="宋体"/>
                <w:kern w:val="0"/>
                <w:sz w:val="24"/>
                <w:szCs w:val="24"/>
                <w:lang w:bidi="ar"/>
              </w:rPr>
              <w:t>5.主席单元具有计时发言功能 ，发言时间不受限制；代表机具有申请发言功能，主席可批准申请人发言；单元具备优先权功能，可关闭正在发言的所有代表话筒。</w:t>
            </w:r>
            <w:r>
              <w:rPr>
                <w:rFonts w:hint="eastAsia" w:ascii="宋体" w:hAnsi="宋体" w:cs="宋体"/>
                <w:kern w:val="0"/>
                <w:sz w:val="24"/>
                <w:szCs w:val="24"/>
                <w:lang w:bidi="ar"/>
              </w:rPr>
              <w:br w:type="textWrapping"/>
            </w:r>
            <w:r>
              <w:rPr>
                <w:rFonts w:hint="eastAsia" w:ascii="宋体" w:hAnsi="宋体" w:cs="宋体"/>
                <w:kern w:val="0"/>
                <w:sz w:val="24"/>
                <w:szCs w:val="24"/>
                <w:lang w:bidi="ar"/>
              </w:rPr>
              <w:t>6.具有3.5mm输出插座，可做录音及连接耳机用。咪杆高度（或长度）≤409mm</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7.支持5段EQ调节功能，后台软件可针对发言者的声音特点调节不同的音效。</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1（该话筒为主席台总控，可以控制其他话筒禁言）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会议话筒</w:t>
            </w:r>
          </w:p>
        </w:tc>
        <w:tc>
          <w:tcPr>
            <w:tcW w:w="7474" w:type="dxa"/>
            <w:noWrap w:val="0"/>
            <w:vAlign w:val="top"/>
          </w:tcPr>
          <w:p>
            <w:pPr>
              <w:widowControl/>
              <w:numPr>
                <w:ilvl w:val="0"/>
                <w:numId w:val="19"/>
              </w:numPr>
              <w:textAlignment w:val="top"/>
              <w:rPr>
                <w:rFonts w:hint="default" w:eastAsia="宋体"/>
                <w:lang w:val="en-US" w:eastAsia="zh-CN"/>
              </w:rPr>
            </w:pPr>
            <w:r>
              <w:rPr>
                <w:rFonts w:hint="eastAsia"/>
              </w:rPr>
              <w:t>桌面式话筒采用心型指向性驻极体麦克风，支持声控功能。内部具有DSP音频处理；采用100M网络传输，实现手拉手级联。</w:t>
            </w:r>
            <w:r>
              <w:rPr>
                <w:rFonts w:hint="eastAsia"/>
              </w:rPr>
              <w:br w:type="textWrapping"/>
            </w:r>
            <w:r>
              <w:rPr>
                <w:rFonts w:hint="eastAsia"/>
              </w:rPr>
              <w:t>★2.具有≥4.3英寸触摸屏，支持茶水服务功能。（需提供证明满足此功能的具有</w:t>
            </w:r>
            <w:r>
              <w:t>CNAS</w:t>
            </w:r>
            <w:r>
              <w:rPr>
                <w:rFonts w:hint="eastAsia"/>
              </w:rPr>
              <w:t>、</w:t>
            </w:r>
            <w:r>
              <w:t>CMA</w:t>
            </w:r>
            <w:r>
              <w:rPr>
                <w:rFonts w:hint="eastAsia"/>
              </w:rPr>
              <w:t>、ilac</w:t>
            </w:r>
            <w:r>
              <w:t>-MRA</w:t>
            </w:r>
            <w:r>
              <w:rPr>
                <w:rFonts w:hint="eastAsia"/>
              </w:rPr>
              <w:t>标识的第三方正规权威检测机构出具的检验报告，并盖生产厂商公章）</w:t>
            </w:r>
            <w:r>
              <w:rPr>
                <w:rFonts w:hint="eastAsia"/>
              </w:rPr>
              <w:br w:type="textWrapping"/>
            </w:r>
            <w:r>
              <w:rPr>
                <w:rFonts w:hint="eastAsia"/>
              </w:rPr>
              <w:t>★3.支持触摸按键签到功能。支持表决评级选举功能，支持五键选举/三键表决；支持签到、表决状态实时显示，后台同步显示。（需提供证明满足此功能的具有</w:t>
            </w:r>
            <w:r>
              <w:t>CNAS</w:t>
            </w:r>
            <w:r>
              <w:rPr>
                <w:rFonts w:hint="eastAsia"/>
              </w:rPr>
              <w:t>、</w:t>
            </w:r>
            <w:r>
              <w:t>CMA</w:t>
            </w:r>
            <w:r>
              <w:rPr>
                <w:rFonts w:hint="eastAsia"/>
              </w:rPr>
              <w:t>、ilac</w:t>
            </w:r>
            <w:r>
              <w:t>-MRA</w:t>
            </w:r>
            <w:r>
              <w:rPr>
                <w:rFonts w:hint="eastAsia"/>
              </w:rPr>
              <w:t>标识的第三方正规权威检测机构出具的检验报告，并盖生产厂商公章）</w:t>
            </w:r>
            <w:r>
              <w:rPr>
                <w:rFonts w:hint="eastAsia"/>
              </w:rPr>
              <w:br w:type="textWrapping"/>
            </w:r>
            <w:r>
              <w:rPr>
                <w:rFonts w:hint="eastAsia"/>
              </w:rPr>
              <w:t>4.单元具有自动编ID功能，支持同声传译功能可选择接收语言通道，出厂默认为15+1，可选配31+1，63+1。</w:t>
            </w:r>
            <w:r>
              <w:rPr>
                <w:rFonts w:hint="eastAsia"/>
              </w:rPr>
              <w:br w:type="textWrapping"/>
            </w:r>
            <w:r>
              <w:rPr>
                <w:rFonts w:hint="eastAsia"/>
              </w:rPr>
              <w:t>5.代表单元具有计时发言功能 ，发言时间不受限制；代表机具有申请发言功能，主席可批准申请人发言。</w:t>
            </w:r>
            <w:r>
              <w:rPr>
                <w:rFonts w:hint="eastAsia"/>
              </w:rPr>
              <w:br w:type="textWrapping"/>
            </w:r>
            <w:r>
              <w:rPr>
                <w:rFonts w:hint="eastAsia"/>
              </w:rPr>
              <w:t>6.具有3.5mm输出插座，可做录音及连接耳机用。咪杆高度（或长度）≤409mm</w:t>
            </w:r>
            <w:r>
              <w:rPr>
                <w:rFonts w:hint="eastAsia"/>
              </w:rPr>
              <w:br w:type="textWrapping"/>
            </w:r>
            <w:r>
              <w:rPr>
                <w:rFonts w:hint="eastAsia"/>
              </w:rPr>
              <w:t>7.支持5段EQ调节功能，后台软件可针对发言者的声音特点调节不同的音效。</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ascii="宋体" w:hAnsi="宋体" w:cs="宋体"/>
                <w:kern w:val="0"/>
                <w:sz w:val="24"/>
                <w:szCs w:val="24"/>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28"/>
                <w:szCs w:val="28"/>
                <w:lang w:bidi="ar"/>
              </w:rPr>
              <w:t>（二）、扩声系统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1"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专业功放</w:t>
            </w:r>
          </w:p>
        </w:tc>
        <w:tc>
          <w:tcPr>
            <w:tcW w:w="7474" w:type="dxa"/>
            <w:noWrap w:val="0"/>
            <w:vAlign w:val="top"/>
          </w:tcPr>
          <w:p>
            <w:pPr>
              <w:widowControl/>
              <w:numPr>
                <w:ilvl w:val="0"/>
                <w:numId w:val="20"/>
              </w:numPr>
              <w:textAlignment w:val="top"/>
              <w:rPr>
                <w:rFonts w:hint="eastAsia" w:ascii="宋体" w:hAnsi="宋体" w:cs="宋体"/>
                <w:kern w:val="0"/>
                <w:sz w:val="24"/>
                <w:szCs w:val="24"/>
                <w:lang w:bidi="ar"/>
              </w:rPr>
            </w:pPr>
            <w:r>
              <w:rPr>
                <w:rFonts w:hint="eastAsia" w:ascii="宋体" w:hAnsi="宋体" w:cs="宋体"/>
                <w:kern w:val="0"/>
                <w:sz w:val="24"/>
                <w:szCs w:val="24"/>
                <w:lang w:bidi="ar"/>
              </w:rPr>
              <w:t>工业造型钢面板，，面板防尘网可折洗机构设计，可拆卸清洗的散热通风口。</w:t>
            </w:r>
            <w:r>
              <w:rPr>
                <w:rFonts w:hint="eastAsia" w:ascii="宋体" w:hAnsi="宋体" w:cs="宋体"/>
                <w:kern w:val="0"/>
                <w:sz w:val="24"/>
                <w:szCs w:val="24"/>
                <w:lang w:bidi="ar"/>
              </w:rPr>
              <w:br w:type="textWrapping"/>
            </w:r>
            <w:r>
              <w:rPr>
                <w:rFonts w:hint="eastAsia" w:ascii="宋体" w:hAnsi="宋体" w:cs="宋体"/>
                <w:kern w:val="0"/>
                <w:sz w:val="24"/>
                <w:szCs w:val="24"/>
                <w:lang w:bidi="ar"/>
              </w:rPr>
              <w:t>2.开机软启动，防止开机时向电网吸收大电流，干扰其它用电设备。</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3.智能控制强制散热设计。 </w:t>
            </w:r>
            <w:r>
              <w:rPr>
                <w:rFonts w:hint="eastAsia" w:ascii="宋体" w:hAnsi="宋体" w:cs="宋体"/>
                <w:kern w:val="0"/>
                <w:sz w:val="24"/>
                <w:szCs w:val="24"/>
                <w:lang w:bidi="ar"/>
              </w:rPr>
              <w:br w:type="textWrapping"/>
            </w:r>
            <w:r>
              <w:rPr>
                <w:rFonts w:hint="eastAsia" w:ascii="宋体" w:hAnsi="宋体" w:cs="宋体"/>
                <w:kern w:val="0"/>
                <w:sz w:val="24"/>
                <w:szCs w:val="24"/>
                <w:lang w:bidi="ar"/>
              </w:rPr>
              <w:t>4.两声道功放有三档输入灵敏度选择，轻松接纳宽幅度范围信号源输入；输入灵敏度：0.775V/1V/1.44V</w:t>
            </w:r>
            <w:r>
              <w:rPr>
                <w:rFonts w:hint="eastAsia" w:ascii="宋体" w:hAnsi="宋体" w:cs="宋体"/>
                <w:kern w:val="0"/>
                <w:sz w:val="24"/>
                <w:szCs w:val="24"/>
                <w:lang w:bidi="ar"/>
              </w:rPr>
              <w:br w:type="textWrapping"/>
            </w:r>
            <w:r>
              <w:rPr>
                <w:rFonts w:hint="eastAsia" w:ascii="宋体" w:hAnsi="宋体" w:cs="宋体"/>
                <w:kern w:val="0"/>
                <w:sz w:val="24"/>
                <w:szCs w:val="24"/>
                <w:lang w:bidi="ar"/>
              </w:rPr>
              <w:t>★5.安全保护措施和工作状态指示（短路、过载、直流和过热保护、变压器过热保护）。</w:t>
            </w:r>
            <w:r>
              <w:rPr>
                <w:rFonts w:hint="eastAsia" w:ascii="宋体" w:hAnsi="宋体" w:cs="宋体"/>
                <w:strike w:val="0"/>
                <w:dstrike w:val="0"/>
                <w:kern w:val="0"/>
                <w:sz w:val="24"/>
                <w:szCs w:val="24"/>
                <w:lang w:bidi="ar"/>
              </w:rPr>
              <w:t>(出具满足该参数的具有</w:t>
            </w:r>
            <w:r>
              <w:rPr>
                <w:rFonts w:ascii="宋体" w:hAnsi="宋体" w:cs="宋体"/>
                <w:strike w:val="0"/>
                <w:dstrike w:val="0"/>
                <w:kern w:val="0"/>
                <w:sz w:val="24"/>
                <w:szCs w:val="24"/>
                <w:lang w:bidi="ar"/>
              </w:rPr>
              <w:t>CNAS</w:t>
            </w:r>
            <w:r>
              <w:rPr>
                <w:rFonts w:hint="eastAsia" w:ascii="宋体" w:hAnsi="宋体" w:cs="宋体"/>
                <w:strike w:val="0"/>
                <w:dstrike w:val="0"/>
                <w:kern w:val="0"/>
                <w:sz w:val="24"/>
                <w:szCs w:val="24"/>
                <w:lang w:bidi="ar"/>
              </w:rPr>
              <w:t>、</w:t>
            </w:r>
            <w:r>
              <w:rPr>
                <w:rFonts w:ascii="宋体" w:hAnsi="宋体" w:cs="宋体"/>
                <w:strike w:val="0"/>
                <w:dstrike w:val="0"/>
                <w:kern w:val="0"/>
                <w:sz w:val="24"/>
                <w:szCs w:val="24"/>
                <w:lang w:bidi="ar"/>
              </w:rPr>
              <w:t>CMA</w:t>
            </w:r>
            <w:r>
              <w:rPr>
                <w:rFonts w:hint="eastAsia" w:ascii="宋体" w:hAnsi="宋体" w:cs="宋体"/>
                <w:strike w:val="0"/>
                <w:dstrike w:val="0"/>
                <w:kern w:val="0"/>
                <w:sz w:val="24"/>
                <w:szCs w:val="24"/>
                <w:lang w:bidi="ar"/>
              </w:rPr>
              <w:t>、ilac</w:t>
            </w:r>
            <w:r>
              <w:rPr>
                <w:rFonts w:ascii="宋体" w:hAnsi="宋体" w:cs="宋体"/>
                <w:strike w:val="0"/>
                <w:dstrike w:val="0"/>
                <w:kern w:val="0"/>
                <w:sz w:val="24"/>
                <w:szCs w:val="24"/>
                <w:lang w:bidi="ar"/>
              </w:rPr>
              <w:t>-MRA</w:t>
            </w:r>
            <w:r>
              <w:rPr>
                <w:rFonts w:hint="eastAsia" w:ascii="宋体" w:hAnsi="宋体" w:cs="宋体"/>
                <w:strike w:val="0"/>
                <w:dstrike w:val="0"/>
                <w:kern w:val="0"/>
                <w:sz w:val="24"/>
                <w:szCs w:val="24"/>
                <w:lang w:bidi="ar"/>
              </w:rPr>
              <w:t>标识的第三方正规权威机构检测报告，提供相关证明材料)</w:t>
            </w:r>
            <w:r>
              <w:rPr>
                <w:rFonts w:hint="eastAsia" w:ascii="宋体" w:hAnsi="宋体" w:cs="宋体"/>
                <w:strike w:val="0"/>
                <w:kern w:val="0"/>
                <w:sz w:val="24"/>
                <w:szCs w:val="24"/>
                <w:lang w:bidi="ar"/>
              </w:rPr>
              <w:t>。</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6.智能削峰限幅器，控制功率模块及扬声器系统在安全范围内工作。 </w:t>
            </w:r>
            <w:r>
              <w:rPr>
                <w:rFonts w:hint="eastAsia" w:ascii="宋体" w:hAnsi="宋体" w:cs="宋体"/>
                <w:kern w:val="0"/>
                <w:sz w:val="24"/>
                <w:szCs w:val="24"/>
                <w:lang w:bidi="ar"/>
              </w:rPr>
              <w:br w:type="textWrapping"/>
            </w:r>
            <w:r>
              <w:rPr>
                <w:rFonts w:hint="eastAsia" w:ascii="宋体" w:hAnsi="宋体" w:cs="宋体"/>
                <w:kern w:val="0"/>
                <w:sz w:val="24"/>
                <w:szCs w:val="24"/>
                <w:lang w:bidi="ar"/>
              </w:rPr>
              <w:t>7.标准XLR+TRS1/4" 复合输入接口。</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8.变压器和低阻大容量电解滤波，保证大动态工作应付自如。 </w:t>
            </w:r>
            <w:r>
              <w:rPr>
                <w:rFonts w:hint="eastAsia" w:ascii="宋体" w:hAnsi="宋体" w:cs="宋体"/>
                <w:kern w:val="0"/>
                <w:sz w:val="24"/>
                <w:szCs w:val="24"/>
                <w:lang w:bidi="ar"/>
              </w:rPr>
              <w:br w:type="textWrapping"/>
            </w:r>
            <w:r>
              <w:rPr>
                <w:rFonts w:hint="eastAsia" w:ascii="宋体" w:hAnsi="宋体" w:cs="宋体"/>
                <w:kern w:val="0"/>
                <w:sz w:val="24"/>
                <w:szCs w:val="24"/>
                <w:lang w:bidi="ar"/>
              </w:rPr>
              <w:t>9.支持立体声或桥接工作模式。</w:t>
            </w:r>
            <w:r>
              <w:rPr>
                <w:rFonts w:hint="eastAsia" w:ascii="宋体" w:hAnsi="宋体" w:cs="宋体"/>
                <w:kern w:val="0"/>
                <w:sz w:val="24"/>
                <w:szCs w:val="24"/>
                <w:lang w:bidi="ar"/>
              </w:rPr>
              <w:br w:type="textWrapping"/>
            </w:r>
            <w:r>
              <w:rPr>
                <w:rFonts w:hint="eastAsia" w:ascii="宋体" w:hAnsi="宋体" w:cs="宋体"/>
                <w:kern w:val="0"/>
                <w:sz w:val="24"/>
                <w:szCs w:val="24"/>
                <w:lang w:bidi="ar"/>
              </w:rPr>
              <w:t>10.输入座接地脚接地和悬浮控制。</w:t>
            </w:r>
            <w:r>
              <w:rPr>
                <w:rFonts w:hint="eastAsia" w:ascii="宋体" w:hAnsi="宋体" w:cs="宋体"/>
                <w:kern w:val="0"/>
                <w:sz w:val="24"/>
                <w:szCs w:val="24"/>
                <w:lang w:bidi="ar"/>
              </w:rPr>
              <w:br w:type="textWrapping"/>
            </w:r>
            <w:r>
              <w:rPr>
                <w:rFonts w:hint="eastAsia" w:ascii="宋体" w:hAnsi="宋体" w:cs="宋体"/>
                <w:kern w:val="0"/>
                <w:sz w:val="24"/>
                <w:szCs w:val="24"/>
                <w:lang w:bidi="ar"/>
              </w:rPr>
              <w:t>11.输出功率（20Hz-20KHz/THD≤1％）：立体声/并联8Ω×2：200W×2；立体声/并联4Ω×2：300W×2；桥接8Ω：600W</w:t>
            </w:r>
          </w:p>
          <w:p>
            <w:pPr>
              <w:widowControl/>
              <w:textAlignment w:val="top"/>
              <w:rPr>
                <w:rFonts w:hint="eastAsia" w:ascii="宋体" w:hAnsi="宋体" w:cs="宋体"/>
                <w:strike w:val="0"/>
                <w:dstrike w:val="0"/>
                <w:kern w:val="0"/>
                <w:sz w:val="24"/>
                <w:szCs w:val="24"/>
                <w:lang w:bidi="ar"/>
              </w:rPr>
            </w:pPr>
            <w:r>
              <w:rPr>
                <w:rFonts w:hint="eastAsia" w:ascii="宋体" w:hAnsi="宋体" w:cs="宋体"/>
                <w:kern w:val="0"/>
                <w:sz w:val="24"/>
                <w:szCs w:val="24"/>
                <w:lang w:bidi="ar"/>
              </w:rPr>
              <w:t>★12</w:t>
            </w:r>
            <w:r>
              <w:rPr>
                <w:rFonts w:hint="eastAsia" w:ascii="宋体" w:hAnsi="宋体" w:cs="宋体"/>
                <w:strike w:val="0"/>
                <w:dstrike w:val="0"/>
                <w:kern w:val="0"/>
                <w:sz w:val="24"/>
                <w:szCs w:val="24"/>
                <w:lang w:bidi="ar"/>
              </w:rPr>
              <w:t>.所投产品厂家获得ISO10012-2003测量管理体系认证证书，对产品质量，经营管理，环境监测，安全防护，能源管理方面起到计量保障作用，提供证书复印件和官网查询截图并加盖生产厂商公章</w:t>
            </w:r>
          </w:p>
          <w:p>
            <w:pPr>
              <w:widowControl/>
              <w:textAlignment w:val="top"/>
              <w:rPr>
                <w:rFonts w:hint="eastAsia" w:ascii="宋体" w:hAnsi="宋体" w:cs="宋体"/>
                <w:sz w:val="24"/>
                <w:szCs w:val="24"/>
              </w:rPr>
            </w:pPr>
            <w:r>
              <w:rPr>
                <w:rFonts w:hint="eastAsia" w:ascii="宋体" w:hAnsi="宋体" w:cs="宋体"/>
                <w:kern w:val="0"/>
                <w:sz w:val="24"/>
                <w:szCs w:val="24"/>
                <w:lang w:bidi="ar"/>
              </w:rPr>
              <w:t>★13.为了系统的稳定性，所投产品的生产厂家具备中国质量认证监督管理中心出具的中国节能环保荣誉证书和中国绿色环保产品荣誉证书（证书含有数字会议，专业音响等字样），提供证书复印件并盖生产厂商公章。</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专业音箱</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1.阻抗：8Ω</w:t>
            </w:r>
            <w:r>
              <w:rPr>
                <w:rFonts w:hint="eastAsia" w:ascii="宋体" w:hAnsi="宋体" w:cs="宋体"/>
                <w:kern w:val="0"/>
                <w:sz w:val="24"/>
                <w:szCs w:val="24"/>
                <w:lang w:bidi="ar"/>
              </w:rPr>
              <w:br w:type="textWrapping"/>
            </w:r>
            <w:r>
              <w:rPr>
                <w:rFonts w:hint="eastAsia" w:ascii="宋体" w:hAnsi="宋体" w:cs="宋体"/>
                <w:kern w:val="0"/>
                <w:sz w:val="24"/>
                <w:szCs w:val="24"/>
                <w:lang w:bidi="ar"/>
              </w:rPr>
              <w:t>2.频响：65Hz~20KHz</w:t>
            </w:r>
            <w:r>
              <w:rPr>
                <w:rFonts w:hint="eastAsia" w:ascii="宋体" w:hAnsi="宋体" w:cs="宋体"/>
                <w:kern w:val="0"/>
                <w:sz w:val="24"/>
                <w:szCs w:val="24"/>
                <w:lang w:bidi="ar"/>
              </w:rPr>
              <w:br w:type="textWrapping"/>
            </w:r>
            <w:r>
              <w:rPr>
                <w:rFonts w:hint="eastAsia" w:ascii="宋体" w:hAnsi="宋体" w:cs="宋体"/>
                <w:kern w:val="0"/>
                <w:sz w:val="24"/>
                <w:szCs w:val="24"/>
                <w:lang w:bidi="ar"/>
              </w:rPr>
              <w:t>3.额定功率：150W</w:t>
            </w:r>
            <w:r>
              <w:rPr>
                <w:rFonts w:hint="eastAsia" w:ascii="宋体" w:hAnsi="宋体" w:cs="宋体"/>
                <w:kern w:val="0"/>
                <w:sz w:val="24"/>
                <w:szCs w:val="24"/>
                <w:lang w:bidi="ar"/>
              </w:rPr>
              <w:br w:type="textWrapping"/>
            </w:r>
            <w:r>
              <w:rPr>
                <w:rFonts w:hint="eastAsia" w:ascii="宋体" w:hAnsi="宋体" w:cs="宋体"/>
                <w:kern w:val="0"/>
                <w:sz w:val="24"/>
                <w:szCs w:val="24"/>
                <w:lang w:bidi="ar"/>
              </w:rPr>
              <w:t>4.灵敏度：95dB/W/M</w:t>
            </w:r>
            <w:r>
              <w:rPr>
                <w:rFonts w:hint="eastAsia" w:ascii="宋体" w:hAnsi="宋体" w:cs="宋体"/>
                <w:kern w:val="0"/>
                <w:sz w:val="24"/>
                <w:szCs w:val="24"/>
                <w:lang w:bidi="ar"/>
              </w:rPr>
              <w:br w:type="textWrapping"/>
            </w:r>
            <w:r>
              <w:rPr>
                <w:rFonts w:hint="eastAsia" w:ascii="宋体" w:hAnsi="宋体" w:cs="宋体"/>
                <w:kern w:val="0"/>
                <w:sz w:val="24"/>
                <w:szCs w:val="24"/>
                <w:lang w:bidi="ar"/>
              </w:rPr>
              <w:t>5.覆盖角度：(H)80°(V)60°</w:t>
            </w:r>
            <w:r>
              <w:rPr>
                <w:rFonts w:hint="eastAsia" w:ascii="宋体" w:hAnsi="宋体" w:cs="宋体"/>
                <w:kern w:val="0"/>
                <w:sz w:val="24"/>
                <w:szCs w:val="24"/>
                <w:lang w:bidi="ar"/>
              </w:rPr>
              <w:br w:type="textWrapping"/>
            </w:r>
            <w:r>
              <w:rPr>
                <w:rFonts w:hint="eastAsia" w:ascii="宋体" w:hAnsi="宋体" w:cs="宋体"/>
                <w:kern w:val="0"/>
                <w:sz w:val="24"/>
                <w:szCs w:val="24"/>
                <w:lang w:bidi="ar"/>
              </w:rPr>
              <w:t>6.高音：3"锥形高音单元×2</w:t>
            </w:r>
            <w:r>
              <w:rPr>
                <w:rFonts w:hint="eastAsia" w:ascii="宋体" w:hAnsi="宋体" w:cs="宋体"/>
                <w:kern w:val="0"/>
                <w:sz w:val="24"/>
                <w:szCs w:val="24"/>
                <w:lang w:bidi="ar"/>
              </w:rPr>
              <w:br w:type="textWrapping"/>
            </w:r>
            <w:r>
              <w:rPr>
                <w:rFonts w:hint="eastAsia" w:ascii="宋体" w:hAnsi="宋体" w:cs="宋体"/>
                <w:kern w:val="0"/>
                <w:sz w:val="24"/>
                <w:szCs w:val="24"/>
                <w:lang w:bidi="ar"/>
              </w:rPr>
              <w:t>7.低音：8"低音×1</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只</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配套支架</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固定面板孔位尺寸（长*宽）： 140mm*65mm</w:t>
            </w:r>
            <w:r>
              <w:rPr>
                <w:rFonts w:hint="eastAsia" w:ascii="宋体" w:hAnsi="宋体" w:cs="宋体"/>
                <w:kern w:val="0"/>
                <w:sz w:val="24"/>
                <w:szCs w:val="24"/>
                <w:lang w:bidi="ar"/>
              </w:rPr>
              <w:br w:type="textWrapping"/>
            </w:r>
            <w:r>
              <w:rPr>
                <w:rFonts w:hint="eastAsia" w:ascii="宋体" w:hAnsi="宋体" w:cs="宋体"/>
                <w:kern w:val="0"/>
                <w:sz w:val="24"/>
                <w:szCs w:val="24"/>
                <w:lang w:bidi="ar"/>
              </w:rPr>
              <w:t>箱体固定面板孔位尺寸（长*宽）： 128mm*70mm</w:t>
            </w:r>
            <w:r>
              <w:rPr>
                <w:rFonts w:hint="eastAsia" w:ascii="宋体" w:hAnsi="宋体" w:cs="宋体"/>
                <w:kern w:val="0"/>
                <w:sz w:val="24"/>
                <w:szCs w:val="24"/>
                <w:lang w:bidi="ar"/>
              </w:rPr>
              <w:br w:type="textWrapping"/>
            </w:r>
            <w:r>
              <w:rPr>
                <w:rFonts w:hint="eastAsia" w:ascii="宋体" w:hAnsi="宋体" w:cs="宋体"/>
                <w:kern w:val="0"/>
                <w:sz w:val="24"/>
                <w:szCs w:val="24"/>
                <w:lang w:bidi="ar"/>
              </w:rPr>
              <w:t>设备面板尺寸：160mm*90mm</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只</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手持无线话筒</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1.频率指标：470-510M 540-590M 640-690M 740-790M 807-830MHz 五段（要求满足或优于此性能），调制方式：宽带FM，频道数目：500个频道。</w:t>
            </w:r>
            <w:r>
              <w:rPr>
                <w:rFonts w:hint="eastAsia" w:ascii="宋体" w:hAnsi="宋体" w:cs="宋体"/>
                <w:kern w:val="0"/>
                <w:sz w:val="24"/>
                <w:szCs w:val="24"/>
                <w:lang w:bidi="ar"/>
              </w:rPr>
              <w:br w:type="textWrapping"/>
            </w:r>
            <w:r>
              <w:rPr>
                <w:rFonts w:hint="eastAsia" w:ascii="宋体" w:hAnsi="宋体" w:cs="宋体"/>
                <w:kern w:val="0"/>
                <w:sz w:val="24"/>
                <w:szCs w:val="24"/>
                <w:lang w:bidi="ar"/>
              </w:rPr>
              <w:t>2.配套有1台接收主机和2个无线手持话筒。</w:t>
            </w:r>
            <w:r>
              <w:rPr>
                <w:rFonts w:hint="eastAsia" w:ascii="宋体" w:hAnsi="宋体" w:cs="宋体"/>
                <w:kern w:val="0"/>
                <w:sz w:val="24"/>
                <w:szCs w:val="24"/>
                <w:lang w:bidi="ar"/>
              </w:rPr>
              <w:br w:type="textWrapping"/>
            </w:r>
            <w:r>
              <w:rPr>
                <w:rFonts w:hint="eastAsia" w:ascii="宋体" w:hAnsi="宋体" w:cs="宋体"/>
                <w:kern w:val="0"/>
                <w:sz w:val="24"/>
                <w:szCs w:val="24"/>
                <w:lang w:bidi="ar"/>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Pr>
                <w:rFonts w:hint="eastAsia" w:ascii="宋体" w:hAnsi="宋体" w:cs="宋体"/>
                <w:kern w:val="0"/>
                <w:sz w:val="24"/>
                <w:szCs w:val="24"/>
                <w:lang w:bidi="ar"/>
              </w:rPr>
              <w:br w:type="textWrapping"/>
            </w:r>
            <w:r>
              <w:rPr>
                <w:rFonts w:hint="eastAsia" w:ascii="宋体" w:hAnsi="宋体" w:cs="宋体"/>
                <w:kern w:val="0"/>
                <w:sz w:val="24"/>
                <w:szCs w:val="24"/>
                <w:lang w:bidi="ar"/>
              </w:rPr>
              <w:t>★4.带8级射频电平显示，8级音频电平显示，频道菜单显示，静音显示；具有SCAN 自动扫频功能，使用前按SET功能键自动找一个环境最干净的频点处停下来，此频率作为接收机的使用频率。(出具满足该参数的具有</w:t>
            </w:r>
            <w:r>
              <w:rPr>
                <w:rFonts w:ascii="宋体" w:hAnsi="宋体" w:cs="宋体"/>
                <w:kern w:val="0"/>
                <w:sz w:val="24"/>
                <w:szCs w:val="24"/>
                <w:lang w:bidi="ar"/>
              </w:rPr>
              <w:t>CNAS</w:t>
            </w:r>
            <w:r>
              <w:rPr>
                <w:rFonts w:hint="eastAsia" w:ascii="宋体" w:hAnsi="宋体" w:cs="宋体"/>
                <w:kern w:val="0"/>
                <w:sz w:val="24"/>
                <w:szCs w:val="24"/>
                <w:lang w:bidi="ar"/>
              </w:rPr>
              <w:t>、</w:t>
            </w:r>
            <w:r>
              <w:rPr>
                <w:rFonts w:ascii="宋体" w:hAnsi="宋体" w:cs="宋体"/>
                <w:kern w:val="0"/>
                <w:sz w:val="24"/>
                <w:szCs w:val="24"/>
                <w:lang w:bidi="ar"/>
              </w:rPr>
              <w:t>CMA</w:t>
            </w:r>
            <w:r>
              <w:rPr>
                <w:rFonts w:hint="eastAsia" w:ascii="宋体" w:hAnsi="宋体" w:cs="宋体"/>
                <w:kern w:val="0"/>
                <w:sz w:val="24"/>
                <w:szCs w:val="24"/>
                <w:lang w:bidi="ar"/>
              </w:rPr>
              <w:t>、ilac</w:t>
            </w:r>
            <w:r>
              <w:rPr>
                <w:rFonts w:ascii="宋体" w:hAnsi="宋体" w:cs="宋体"/>
                <w:kern w:val="0"/>
                <w:sz w:val="24"/>
                <w:szCs w:val="24"/>
                <w:lang w:bidi="ar"/>
              </w:rPr>
              <w:t>-MRA</w:t>
            </w:r>
            <w:r>
              <w:rPr>
                <w:rFonts w:hint="eastAsia" w:ascii="宋体" w:hAnsi="宋体" w:cs="宋体"/>
                <w:kern w:val="0"/>
                <w:sz w:val="24"/>
                <w:szCs w:val="24"/>
                <w:lang w:bidi="ar"/>
              </w:rPr>
              <w:t>标识的第三方正规权威机构检测报告，提供相关证明材料)</w:t>
            </w:r>
            <w:r>
              <w:rPr>
                <w:rFonts w:hint="eastAsia" w:ascii="宋体" w:hAnsi="宋体" w:cs="宋体"/>
                <w:kern w:val="0"/>
                <w:sz w:val="24"/>
                <w:szCs w:val="24"/>
                <w:lang w:bidi="ar"/>
              </w:rPr>
              <w:br w:type="textWrapping"/>
            </w:r>
            <w:r>
              <w:rPr>
                <w:rFonts w:hint="eastAsia" w:ascii="宋体" w:hAnsi="宋体" w:cs="宋体"/>
                <w:kern w:val="0"/>
                <w:sz w:val="24"/>
                <w:szCs w:val="24"/>
                <w:lang w:bidi="ar"/>
              </w:rPr>
              <w:t>5.平衡和非平衡两种选择输出端口，适应不同的设备连接需求。</w:t>
            </w:r>
            <w:r>
              <w:rPr>
                <w:rFonts w:hint="eastAsia" w:ascii="宋体" w:hAnsi="宋体" w:cs="宋体"/>
                <w:kern w:val="0"/>
                <w:sz w:val="24"/>
                <w:szCs w:val="24"/>
                <w:lang w:bidi="ar"/>
              </w:rPr>
              <w:br w:type="textWrapping"/>
            </w:r>
            <w:r>
              <w:rPr>
                <w:rFonts w:hint="eastAsia" w:ascii="宋体" w:hAnsi="宋体" w:cs="宋体"/>
                <w:kern w:val="0"/>
                <w:sz w:val="24"/>
                <w:szCs w:val="24"/>
                <w:lang w:bidi="ar"/>
              </w:rPr>
              <w:t>6.接收机指标：采用二次变频超外差的接收机方式，灵敏度: 12dB μV（80dBS/N)，灵敏度调节范围:12-32dB μV，频率响应:80Hz-18KHz（±3dB）。</w:t>
            </w:r>
            <w:r>
              <w:rPr>
                <w:rFonts w:hint="eastAsia" w:ascii="宋体" w:hAnsi="宋体" w:cs="宋体"/>
                <w:kern w:val="0"/>
                <w:sz w:val="24"/>
                <w:szCs w:val="24"/>
                <w:lang w:bidi="ar"/>
              </w:rPr>
              <w:br w:type="textWrapping"/>
            </w:r>
            <w:r>
              <w:rPr>
                <w:rFonts w:hint="eastAsia" w:ascii="宋体" w:hAnsi="宋体" w:cs="宋体"/>
                <w:kern w:val="0"/>
                <w:sz w:val="24"/>
                <w:szCs w:val="24"/>
                <w:lang w:bidi="ar"/>
              </w:rPr>
              <w:t>7.发射机指标：音头采用动圈式麦克风</w:t>
            </w:r>
            <w:r>
              <w:rPr>
                <w:rFonts w:hint="eastAsia" w:ascii="宋体" w:hAnsi="宋体" w:cs="宋体"/>
                <w:kern w:val="0"/>
                <w:sz w:val="24"/>
                <w:szCs w:val="24"/>
                <w:lang w:bidi="ar"/>
              </w:rPr>
              <w:br w:type="textWrapping"/>
            </w:r>
            <w:r>
              <w:rPr>
                <w:rFonts w:hint="eastAsia" w:ascii="宋体" w:hAnsi="宋体" w:cs="宋体"/>
                <w:kern w:val="0"/>
                <w:sz w:val="24"/>
                <w:szCs w:val="24"/>
                <w:lang w:bidi="ar"/>
              </w:rPr>
              <w:t>8.输出功率:3mW~30mW。</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调音台</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1.支持≥8路麦克风输入兼容6路线路输入接口，支持≥2路立体声输入接口，≥4路RCA输入，话筒接口幻象电源：+48V。</w:t>
            </w:r>
            <w:r>
              <w:rPr>
                <w:rFonts w:hint="eastAsia" w:ascii="宋体" w:hAnsi="宋体" w:cs="宋体"/>
                <w:kern w:val="0"/>
                <w:sz w:val="24"/>
                <w:szCs w:val="24"/>
                <w:lang w:bidi="ar"/>
              </w:rPr>
              <w:br w:type="textWrapping"/>
            </w:r>
            <w:r>
              <w:rPr>
                <w:rFonts w:hint="eastAsia" w:ascii="宋体" w:hAnsi="宋体" w:cs="宋体"/>
                <w:kern w:val="0"/>
                <w:sz w:val="24"/>
                <w:szCs w:val="24"/>
                <w:lang w:bidi="ar"/>
              </w:rPr>
              <w:t>★2.具有≥2组立体主输出、≥4路编组输出、≥4路辅助输出、≥1组立体声监听输出、≥1个耳机监听输出、≥2个效果输出、≥1组主混音断点插入、≥6个断点插入。（提供接口截图佐证）</w:t>
            </w:r>
            <w:r>
              <w:rPr>
                <w:rFonts w:hint="eastAsia" w:ascii="宋体" w:hAnsi="宋体" w:cs="宋体"/>
                <w:kern w:val="0"/>
                <w:sz w:val="24"/>
                <w:szCs w:val="24"/>
                <w:lang w:bidi="ar"/>
              </w:rPr>
              <w:br w:type="textWrapping"/>
            </w:r>
            <w:r>
              <w:rPr>
                <w:rFonts w:hint="eastAsia" w:ascii="宋体" w:hAnsi="宋体" w:cs="宋体"/>
                <w:kern w:val="0"/>
                <w:sz w:val="24"/>
                <w:szCs w:val="24"/>
                <w:lang w:bidi="ar"/>
              </w:rPr>
              <w:t>3.内置24位DSP效果器，提供100种预设效果。</w:t>
            </w:r>
            <w:r>
              <w:rPr>
                <w:rFonts w:hint="eastAsia" w:ascii="宋体" w:hAnsi="宋体" w:cs="宋体"/>
                <w:kern w:val="0"/>
                <w:sz w:val="24"/>
                <w:szCs w:val="24"/>
                <w:lang w:bidi="ar"/>
              </w:rPr>
              <w:br w:type="textWrapping"/>
            </w:r>
            <w:r>
              <w:rPr>
                <w:rFonts w:hint="eastAsia" w:ascii="宋体" w:hAnsi="宋体" w:cs="宋体"/>
                <w:kern w:val="0"/>
                <w:sz w:val="24"/>
                <w:szCs w:val="24"/>
                <w:lang w:bidi="ar"/>
              </w:rPr>
              <w:t>4.具备13个60mm行程的高精密碳膜推子。</w:t>
            </w:r>
            <w:r>
              <w:rPr>
                <w:rFonts w:hint="eastAsia" w:ascii="宋体" w:hAnsi="宋体" w:cs="宋体"/>
                <w:kern w:val="0"/>
                <w:sz w:val="24"/>
                <w:szCs w:val="24"/>
                <w:lang w:bidi="ar"/>
              </w:rPr>
              <w:br w:type="textWrapping"/>
            </w:r>
            <w:r>
              <w:rPr>
                <w:rFonts w:hint="eastAsia" w:ascii="宋体" w:hAnsi="宋体" w:cs="宋体"/>
                <w:kern w:val="0"/>
                <w:sz w:val="24"/>
                <w:szCs w:val="24"/>
                <w:lang w:bidi="ar"/>
              </w:rPr>
              <w:t>★5.内置USB声卡模块，支持连接电脑进行音乐播放和声音录音；内置MP3播放器，支持1个USB接口接U盘播放音乐。（提供接口截图佐证）</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6</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音频处理器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1.数字音频处理器支持≥4路平衡式话筒/线路输入通道，采用裸线接口端子，平衡接法；支持≥4路平衡式线路输出，采用裸线接口端子，平衡接法。</w:t>
            </w:r>
            <w:r>
              <w:rPr>
                <w:rFonts w:hint="eastAsia" w:ascii="宋体" w:hAnsi="宋体" w:cs="宋体"/>
                <w:kern w:val="0"/>
                <w:sz w:val="24"/>
                <w:szCs w:val="24"/>
                <w:lang w:bidi="ar"/>
              </w:rPr>
              <w:br w:type="textWrapping"/>
            </w:r>
            <w:r>
              <w:rPr>
                <w:rFonts w:hint="eastAsia" w:ascii="宋体" w:hAnsi="宋体" w:cs="宋体"/>
                <w:kern w:val="0"/>
                <w:sz w:val="24"/>
                <w:szCs w:val="24"/>
                <w:lang w:bidi="ar"/>
              </w:rPr>
              <w:t>2、输入通道支持前级放大、信号发生器、扩展器、压缩器、5段参量均衡、AM自动混音功能、AFC自适应反馈消除、AEC回声消除、ANC噪声消除。</w:t>
            </w:r>
            <w:r>
              <w:rPr>
                <w:rFonts w:hint="eastAsia" w:ascii="宋体" w:hAnsi="宋体" w:cs="宋体"/>
                <w:kern w:val="0"/>
                <w:sz w:val="24"/>
                <w:szCs w:val="24"/>
                <w:lang w:bidi="ar"/>
              </w:rPr>
              <w:br w:type="textWrapping"/>
            </w:r>
            <w:r>
              <w:rPr>
                <w:rFonts w:hint="eastAsia" w:ascii="宋体" w:hAnsi="宋体" w:cs="宋体"/>
                <w:kern w:val="0"/>
                <w:sz w:val="24"/>
                <w:szCs w:val="24"/>
                <w:lang w:bidi="ar"/>
              </w:rPr>
              <w:t>3、输出通道支持31段图示均衡器、延时器、分频器、高低通滤波器、限幅器。</w:t>
            </w:r>
            <w:r>
              <w:rPr>
                <w:rFonts w:hint="eastAsia" w:ascii="宋体" w:hAnsi="宋体" w:cs="宋体"/>
                <w:kern w:val="0"/>
                <w:sz w:val="24"/>
                <w:szCs w:val="24"/>
                <w:lang w:bidi="ar"/>
              </w:rPr>
              <w:br w:type="textWrapping"/>
            </w:r>
            <w:r>
              <w:rPr>
                <w:rFonts w:hint="eastAsia" w:ascii="宋体" w:hAnsi="宋体" w:cs="宋体"/>
                <w:kern w:val="0"/>
                <w:sz w:val="24"/>
                <w:szCs w:val="24"/>
                <w:lang w:bidi="ar"/>
              </w:rPr>
              <w:t>4.支持24bit/48KHz的声音，支持输入通道48V幻象供电。</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5.支持通过ipad或iPhone或安卓手机APP软件进行操作控制，面板具备USB接口，支持多媒体存储，可进行播放或存储录播。</w:t>
            </w:r>
            <w:r>
              <w:rPr>
                <w:rFonts w:hint="eastAsia" w:ascii="宋体" w:hAnsi="宋体" w:cs="宋体"/>
                <w:kern w:val="0"/>
                <w:sz w:val="24"/>
                <w:szCs w:val="24"/>
                <w:lang w:bidi="ar"/>
              </w:rPr>
              <w:br w:type="textWrapping"/>
            </w:r>
            <w:r>
              <w:rPr>
                <w:rFonts w:hint="eastAsia" w:ascii="宋体" w:hAnsi="宋体" w:cs="宋体"/>
                <w:kern w:val="0"/>
                <w:sz w:val="24"/>
                <w:szCs w:val="24"/>
                <w:lang w:bidi="ar"/>
              </w:rPr>
              <w:t>6.配置双向RS-232接口，可用于控制外部设备；配置RS-485接口，可实现自动摄像跟踪功能。配置8通道可编程GPIO控制接口（可自定义输入输出）。</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7.支持断电自动保护记忆功能。支持通道拷贝、粘贴、联控功能。支持通过浏览器访问设备，下载自带管理控制软件；可工作在XP/Windows7、8、10等系统环境下。</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7</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反馈抑制器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1.采用96KHz采样频率，32-bit DSP处理器，24-bitA/D及D/A转换</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2.支持数字信号输入输出通道提供coaxial，AES及光纤接口。</w:t>
            </w:r>
            <w:r>
              <w:rPr>
                <w:rFonts w:hint="eastAsia" w:ascii="宋体" w:hAnsi="宋体" w:cs="宋体"/>
                <w:strike w:val="0"/>
                <w:dstrike w:val="0"/>
                <w:kern w:val="0"/>
                <w:sz w:val="24"/>
                <w:szCs w:val="24"/>
                <w:lang w:bidi="ar"/>
              </w:rPr>
              <w:t>(出具满足该参数的具有</w:t>
            </w:r>
            <w:r>
              <w:rPr>
                <w:rFonts w:ascii="宋体" w:hAnsi="宋体" w:cs="宋体"/>
                <w:strike w:val="0"/>
                <w:dstrike w:val="0"/>
                <w:kern w:val="0"/>
                <w:sz w:val="24"/>
                <w:szCs w:val="24"/>
                <w:lang w:bidi="ar"/>
              </w:rPr>
              <w:t>CNAS</w:t>
            </w:r>
            <w:r>
              <w:rPr>
                <w:rFonts w:hint="eastAsia" w:ascii="宋体" w:hAnsi="宋体" w:cs="宋体"/>
                <w:strike w:val="0"/>
                <w:dstrike w:val="0"/>
                <w:kern w:val="0"/>
                <w:sz w:val="24"/>
                <w:szCs w:val="24"/>
                <w:lang w:bidi="ar"/>
              </w:rPr>
              <w:t>、</w:t>
            </w:r>
            <w:r>
              <w:rPr>
                <w:rFonts w:ascii="宋体" w:hAnsi="宋体" w:cs="宋体"/>
                <w:strike w:val="0"/>
                <w:dstrike w:val="0"/>
                <w:kern w:val="0"/>
                <w:sz w:val="24"/>
                <w:szCs w:val="24"/>
                <w:lang w:bidi="ar"/>
              </w:rPr>
              <w:t>CMA</w:t>
            </w:r>
            <w:r>
              <w:rPr>
                <w:rFonts w:hint="eastAsia" w:ascii="宋体" w:hAnsi="宋体" w:cs="宋体"/>
                <w:strike w:val="0"/>
                <w:dstrike w:val="0"/>
                <w:kern w:val="0"/>
                <w:sz w:val="24"/>
                <w:szCs w:val="24"/>
                <w:lang w:bidi="ar"/>
              </w:rPr>
              <w:t>、ilac</w:t>
            </w:r>
            <w:r>
              <w:rPr>
                <w:rFonts w:ascii="宋体" w:hAnsi="宋体" w:cs="宋体"/>
                <w:strike w:val="0"/>
                <w:dstrike w:val="0"/>
                <w:kern w:val="0"/>
                <w:sz w:val="24"/>
                <w:szCs w:val="24"/>
                <w:lang w:bidi="ar"/>
              </w:rPr>
              <w:t>-MRA</w:t>
            </w:r>
            <w:r>
              <w:rPr>
                <w:rFonts w:hint="eastAsia" w:ascii="宋体" w:hAnsi="宋体" w:cs="宋体"/>
                <w:strike w:val="0"/>
                <w:dstrike w:val="0"/>
                <w:kern w:val="0"/>
                <w:sz w:val="24"/>
                <w:szCs w:val="24"/>
                <w:lang w:bidi="ar"/>
              </w:rPr>
              <w:t>标识的第三方正规权威机构检测报告，提供相关证明材料)</w:t>
            </w:r>
            <w:r>
              <w:rPr>
                <w:rFonts w:hint="eastAsia" w:ascii="宋体" w:hAnsi="宋体" w:cs="宋体"/>
                <w:strike w:val="0"/>
                <w:dstrike w:val="0"/>
                <w:kern w:val="0"/>
                <w:sz w:val="24"/>
                <w:szCs w:val="24"/>
                <w:lang w:bidi="ar"/>
              </w:rPr>
              <w:br w:type="textWrapping"/>
            </w:r>
            <w:r>
              <w:rPr>
                <w:rFonts w:hint="eastAsia" w:ascii="宋体" w:hAnsi="宋体" w:cs="宋体"/>
                <w:kern w:val="0"/>
                <w:sz w:val="24"/>
                <w:szCs w:val="24"/>
                <w:lang w:bidi="ar"/>
              </w:rPr>
              <w:t>3.支持144 x 32的LCD显示屏显示参数功能，提供6段LED显示输出电平；每通道24个LED灯显示啸叫抑制状态数量；</w:t>
            </w:r>
            <w:r>
              <w:rPr>
                <w:rFonts w:hint="eastAsia" w:ascii="宋体" w:hAnsi="宋体" w:cs="宋体"/>
                <w:kern w:val="0"/>
                <w:sz w:val="24"/>
                <w:szCs w:val="24"/>
                <w:lang w:bidi="ar"/>
              </w:rPr>
              <w:br w:type="textWrapping"/>
            </w:r>
            <w:r>
              <w:rPr>
                <w:rFonts w:hint="eastAsia" w:ascii="宋体" w:hAnsi="宋体" w:cs="宋体"/>
                <w:kern w:val="0"/>
                <w:sz w:val="24"/>
                <w:szCs w:val="24"/>
                <w:lang w:bidi="ar"/>
              </w:rPr>
              <w:t>★4.每通道支持压缩、限幅、噪声门、功能设置，可切换工作模式为直通或反馈抑制；可任意编辑固定和动态反馈点数量，可一键清除啸叫点；单机可存储30组用户程序。(出具满足该参数的具有</w:t>
            </w:r>
            <w:r>
              <w:rPr>
                <w:rFonts w:ascii="宋体" w:hAnsi="宋体" w:cs="宋体"/>
                <w:kern w:val="0"/>
                <w:sz w:val="24"/>
                <w:szCs w:val="24"/>
                <w:lang w:bidi="ar"/>
              </w:rPr>
              <w:t>CNAS</w:t>
            </w:r>
            <w:r>
              <w:rPr>
                <w:rFonts w:hint="eastAsia" w:ascii="宋体" w:hAnsi="宋体" w:cs="宋体"/>
                <w:kern w:val="0"/>
                <w:sz w:val="24"/>
                <w:szCs w:val="24"/>
                <w:lang w:bidi="ar"/>
              </w:rPr>
              <w:t>、</w:t>
            </w:r>
            <w:r>
              <w:rPr>
                <w:rFonts w:ascii="宋体" w:hAnsi="宋体" w:cs="宋体"/>
                <w:kern w:val="0"/>
                <w:sz w:val="24"/>
                <w:szCs w:val="24"/>
                <w:lang w:bidi="ar"/>
              </w:rPr>
              <w:t>CMA</w:t>
            </w:r>
            <w:r>
              <w:rPr>
                <w:rFonts w:hint="eastAsia" w:ascii="宋体" w:hAnsi="宋体" w:cs="宋体"/>
                <w:kern w:val="0"/>
                <w:sz w:val="24"/>
                <w:szCs w:val="24"/>
                <w:lang w:bidi="ar"/>
              </w:rPr>
              <w:t>、ilac</w:t>
            </w:r>
            <w:r>
              <w:rPr>
                <w:rFonts w:ascii="宋体" w:hAnsi="宋体" w:cs="宋体"/>
                <w:kern w:val="0"/>
                <w:sz w:val="24"/>
                <w:szCs w:val="24"/>
                <w:lang w:bidi="ar"/>
              </w:rPr>
              <w:t>-MRA</w:t>
            </w:r>
            <w:r>
              <w:rPr>
                <w:rFonts w:hint="eastAsia" w:ascii="宋体" w:hAnsi="宋体" w:cs="宋体"/>
                <w:kern w:val="0"/>
                <w:sz w:val="24"/>
                <w:szCs w:val="24"/>
                <w:lang w:bidi="ar"/>
              </w:rPr>
              <w:t>标识的第三方正规权威机构检测报告，提供相关证明材料)</w:t>
            </w:r>
            <w:r>
              <w:rPr>
                <w:rFonts w:hint="eastAsia" w:ascii="宋体" w:hAnsi="宋体" w:cs="宋体"/>
                <w:kern w:val="0"/>
                <w:sz w:val="24"/>
                <w:szCs w:val="24"/>
                <w:lang w:bidi="ar"/>
              </w:rPr>
              <w:br w:type="textWrapping"/>
            </w:r>
            <w:r>
              <w:rPr>
                <w:rFonts w:hint="eastAsia" w:ascii="宋体" w:hAnsi="宋体" w:cs="宋体"/>
                <w:strike w:val="0"/>
                <w:dstrike w:val="0"/>
                <w:color w:val="auto"/>
                <w:kern w:val="0"/>
                <w:sz w:val="24"/>
                <w:szCs w:val="24"/>
                <w:lang w:bidi="ar"/>
              </w:rPr>
              <w:t>★5.为确保该项目所使用的产品为正规实力厂家提供，所投音频系统厂家须获得音视频智能系统集成工程资质壹级证书,提供证书复印件并加盖生产厂商公章。</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8</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设备机柜</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600*600*2000</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9</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交换机</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1、固化千兆电接口≥24个，独立千兆SFP光接口≥4个；</w:t>
            </w:r>
            <w:r>
              <w:rPr>
                <w:rFonts w:hint="eastAsia" w:ascii="宋体" w:hAnsi="宋体" w:cs="宋体"/>
                <w:kern w:val="0"/>
                <w:sz w:val="24"/>
                <w:szCs w:val="24"/>
                <w:lang w:bidi="ar"/>
              </w:rPr>
              <w:br w:type="textWrapping"/>
            </w:r>
            <w:r>
              <w:rPr>
                <w:rFonts w:hint="eastAsia" w:ascii="宋体" w:hAnsi="宋体" w:cs="宋体"/>
                <w:kern w:val="0"/>
                <w:sz w:val="24"/>
                <w:szCs w:val="24"/>
                <w:lang w:bidi="ar"/>
              </w:rPr>
              <w:t>2、交换容量≥3.3Tbps，包转发率≥125Mpps；</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3、支持虚拟化技术、本地堆叠和远程堆叠，支持通过标准业务口实现虚拟化；</w:t>
            </w:r>
            <w:r>
              <w:rPr>
                <w:rFonts w:hint="eastAsia" w:ascii="宋体" w:hAnsi="宋体" w:cs="宋体"/>
                <w:kern w:val="0"/>
                <w:sz w:val="24"/>
                <w:szCs w:val="24"/>
                <w:lang w:bidi="ar"/>
              </w:rPr>
              <w:br w:type="textWrapping"/>
            </w:r>
            <w:r>
              <w:rPr>
                <w:rFonts w:hint="eastAsia" w:ascii="宋体" w:hAnsi="宋体" w:cs="宋体"/>
                <w:kern w:val="0"/>
                <w:sz w:val="24"/>
                <w:szCs w:val="24"/>
                <w:lang w:bidi="ar"/>
              </w:rPr>
              <w:t>★4、设备支持快速链路检测协议，可快速检测链路的通断和光纤链路的单向性，并支持端口下的环路检测功能，防止端口下因私接Hub等设备形成的环路而导致网络故障的现象。提供厂商官网截图及链接证明；</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5、支持硬件CPU保护机制，对发往CPU的数据流，进行流区分和优先级队列分级处理，并根据需要实施带宽限速，充分保护CPU不被非法流量占用、恶意攻击和资源消耗；</w:t>
            </w:r>
            <w:r>
              <w:rPr>
                <w:rFonts w:hint="eastAsia" w:ascii="宋体" w:hAnsi="宋体" w:cs="宋体"/>
                <w:kern w:val="0"/>
                <w:sz w:val="24"/>
                <w:szCs w:val="24"/>
                <w:lang w:bidi="ar"/>
              </w:rPr>
              <w:br w:type="textWrapping"/>
            </w:r>
            <w:r>
              <w:rPr>
                <w:rFonts w:hint="eastAsia" w:ascii="宋体" w:hAnsi="宋体" w:cs="宋体"/>
                <w:kern w:val="0"/>
                <w:sz w:val="24"/>
                <w:szCs w:val="24"/>
                <w:lang w:bidi="ar"/>
              </w:rPr>
              <w:t>6、支持基础网络保护策略技术，能够限制用户向网络中发送ARP报文、ICMP请求报文、DHCP请求报文等数据包的数率，对超过限速阈值的报文进行丢弃处理，甚至能够识别攻击行为，对有攻击行为的用户进行隔离；</w:t>
            </w:r>
            <w:r>
              <w:rPr>
                <w:rFonts w:hint="eastAsia" w:ascii="宋体" w:hAnsi="宋体" w:cs="宋体"/>
                <w:kern w:val="0"/>
                <w:sz w:val="24"/>
                <w:szCs w:val="24"/>
                <w:lang w:bidi="ar"/>
              </w:rPr>
              <w:br w:type="textWrapping"/>
            </w:r>
            <w:r>
              <w:rPr>
                <w:rFonts w:hint="eastAsia" w:ascii="宋体" w:hAnsi="宋体" w:cs="宋体"/>
                <w:kern w:val="0"/>
                <w:sz w:val="24"/>
                <w:szCs w:val="24"/>
                <w:lang w:bidi="ar"/>
              </w:rPr>
              <w:t>★7、为保证设备在受到外界机械碰撞时能够正常运行，要求所投交换机IK防护测试级别不低于IK05。提供具有</w:t>
            </w:r>
            <w:r>
              <w:rPr>
                <w:rFonts w:ascii="宋体" w:hAnsi="宋体" w:cs="宋体"/>
                <w:kern w:val="0"/>
                <w:sz w:val="24"/>
                <w:szCs w:val="24"/>
                <w:lang w:bidi="ar"/>
              </w:rPr>
              <w:t>CNAS</w:t>
            </w:r>
            <w:r>
              <w:rPr>
                <w:rFonts w:hint="eastAsia" w:ascii="宋体" w:hAnsi="宋体" w:cs="宋体"/>
                <w:kern w:val="0"/>
                <w:sz w:val="24"/>
                <w:szCs w:val="24"/>
                <w:lang w:bidi="ar"/>
              </w:rPr>
              <w:t>、</w:t>
            </w:r>
            <w:r>
              <w:rPr>
                <w:rFonts w:ascii="宋体" w:hAnsi="宋体" w:cs="宋体"/>
                <w:kern w:val="0"/>
                <w:sz w:val="24"/>
                <w:szCs w:val="24"/>
                <w:lang w:bidi="ar"/>
              </w:rPr>
              <w:t>CMA</w:t>
            </w:r>
            <w:r>
              <w:rPr>
                <w:rFonts w:hint="eastAsia" w:ascii="宋体" w:hAnsi="宋体" w:cs="宋体"/>
                <w:kern w:val="0"/>
                <w:sz w:val="24"/>
                <w:szCs w:val="24"/>
                <w:lang w:bidi="ar"/>
              </w:rPr>
              <w:t>、ilac</w:t>
            </w:r>
            <w:r>
              <w:rPr>
                <w:rFonts w:ascii="宋体" w:hAnsi="宋体" w:cs="宋体"/>
                <w:kern w:val="0"/>
                <w:sz w:val="24"/>
                <w:szCs w:val="24"/>
                <w:lang w:bidi="ar"/>
              </w:rPr>
              <w:t>-MRA</w:t>
            </w:r>
            <w:r>
              <w:rPr>
                <w:rFonts w:hint="eastAsia" w:ascii="宋体" w:hAnsi="宋体" w:cs="宋体"/>
                <w:kern w:val="0"/>
                <w:sz w:val="24"/>
                <w:szCs w:val="24"/>
                <w:lang w:bidi="ar"/>
              </w:rPr>
              <w:t>标识的第三方正规权威检验报告证明复印件或扫描件；</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10</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电源管理器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1.支持8通道电源时序打开/关闭，每路动作延时时间：1秒，支持远程控制（上电+24V直流信号）8通道电源时序打开/关闭—当电源开关锁处于off位置时有效。支持配置CH1和CH2通道为受控或不受控状态。</w:t>
            </w:r>
            <w:r>
              <w:rPr>
                <w:rFonts w:hint="eastAsia" w:ascii="宋体" w:hAnsi="宋体" w:cs="宋体"/>
                <w:kern w:val="0"/>
                <w:sz w:val="24"/>
                <w:szCs w:val="24"/>
                <w:lang w:bidi="ar"/>
              </w:rPr>
              <w:br w:type="textWrapping"/>
            </w:r>
            <w:r>
              <w:rPr>
                <w:rFonts w:hint="eastAsia" w:ascii="宋体" w:hAnsi="宋体" w:cs="宋体"/>
                <w:kern w:val="0"/>
                <w:sz w:val="24"/>
                <w:szCs w:val="24"/>
                <w:lang w:bidi="ar"/>
              </w:rPr>
              <w:t>2.当远程控制有效时同时控制后板ALARM（报警）端口导通—起到级联控制ALARM（报警）功能。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3.单个通道最大负载功率2200W，所有通道负载总功率达6000W。输出连接器：多用途电源插座。</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变压器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1．具备≥2路输入、≥2路输出，工业标准接线端子。</w:t>
            </w:r>
            <w:r>
              <w:rPr>
                <w:rFonts w:hint="eastAsia" w:ascii="宋体" w:hAnsi="宋体" w:cs="宋体"/>
                <w:kern w:val="0"/>
                <w:sz w:val="24"/>
                <w:szCs w:val="24"/>
                <w:lang w:bidi="ar"/>
              </w:rPr>
              <w:br w:type="textWrapping"/>
            </w:r>
            <w:r>
              <w:rPr>
                <w:rFonts w:hint="eastAsia" w:ascii="宋体" w:hAnsi="宋体" w:cs="宋体"/>
                <w:kern w:val="0"/>
                <w:sz w:val="24"/>
                <w:szCs w:val="24"/>
                <w:lang w:bidi="ar"/>
              </w:rPr>
              <w:t>2．隔离静噪抗干扰器，消除“嗡”音和“嗞”音“超大电流声”</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只</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话筒连接线</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20米延长线（一公一母）</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根</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插座</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1.采用铝合金材料，防锈处理。</w:t>
            </w:r>
            <w:r>
              <w:rPr>
                <w:rFonts w:hint="eastAsia" w:ascii="宋体" w:hAnsi="宋体" w:cs="宋体"/>
                <w:kern w:val="0"/>
                <w:sz w:val="24"/>
                <w:szCs w:val="24"/>
                <w:lang w:bidi="ar"/>
              </w:rPr>
              <w:br w:type="textWrapping"/>
            </w:r>
            <w:r>
              <w:rPr>
                <w:rFonts w:hint="eastAsia" w:ascii="宋体" w:hAnsi="宋体" w:cs="宋体"/>
                <w:kern w:val="0"/>
                <w:sz w:val="24"/>
                <w:szCs w:val="24"/>
                <w:lang w:bidi="ar"/>
              </w:rPr>
              <w:t>2.一进三出，采用100M 网络传输。</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个</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音频连接线</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各设备间成品连接线</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批</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28"/>
                <w:szCs w:val="28"/>
                <w:lang w:bidi="ar"/>
              </w:rPr>
              <w:t>（三）、集中控制系统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网络中控主机</w:t>
            </w:r>
          </w:p>
        </w:tc>
        <w:tc>
          <w:tcPr>
            <w:tcW w:w="7474" w:type="dxa"/>
            <w:noWrap w:val="0"/>
            <w:vAlign w:val="top"/>
          </w:tcPr>
          <w:p>
            <w:pPr>
              <w:widowControl/>
              <w:numPr>
                <w:ilvl w:val="0"/>
                <w:numId w:val="21"/>
              </w:numPr>
              <w:textAlignment w:val="top"/>
              <w:rPr>
                <w:rFonts w:hint="eastAsia"/>
                <w:strike w:val="0"/>
                <w:sz w:val="24"/>
                <w:szCs w:val="24"/>
              </w:rPr>
            </w:pPr>
            <w:r>
              <w:rPr>
                <w:rFonts w:hint="eastAsia"/>
                <w:sz w:val="24"/>
                <w:szCs w:val="24"/>
              </w:rPr>
              <w:t>采用标准19英寸机柜设计，面板具有指示灯，可直观反馈串口、红外、设备的工作状态；支持通过IOS平台/安卓平台等移动设备终端进行集中式管控。</w:t>
            </w:r>
            <w:r>
              <w:rPr>
                <w:rFonts w:hint="eastAsia"/>
                <w:sz w:val="24"/>
                <w:szCs w:val="24"/>
              </w:rPr>
              <w:br w:type="textWrapping"/>
            </w:r>
            <w:r>
              <w:rPr>
                <w:rFonts w:hint="eastAsia"/>
                <w:sz w:val="24"/>
                <w:szCs w:val="24"/>
              </w:rPr>
              <w:t>2.面板有4.3英寸触摸彩屏，可查看IP地址、修改IP地址。具备1路TF卡接口，实现项目中的程序导入或导出。</w:t>
            </w:r>
            <w:r>
              <w:rPr>
                <w:rFonts w:hint="eastAsia"/>
                <w:sz w:val="24"/>
                <w:szCs w:val="24"/>
              </w:rPr>
              <w:br w:type="textWrapping"/>
            </w:r>
            <w:r>
              <w:rPr>
                <w:rFonts w:hint="eastAsia"/>
                <w:sz w:val="24"/>
                <w:szCs w:val="24"/>
              </w:rPr>
              <w:t>3.支持不同操作端对中控进行管控，支持操作状态双向反馈功能，对设备的控制执行状态可一目了然。支持多台网络中控主机实现级联控制，达到互联、互控的效果。</w:t>
            </w:r>
            <w:r>
              <w:rPr>
                <w:rFonts w:hint="eastAsia"/>
                <w:sz w:val="24"/>
                <w:szCs w:val="24"/>
              </w:rPr>
              <w:br w:type="textWrapping"/>
            </w:r>
            <w:r>
              <w:rPr>
                <w:rFonts w:hint="eastAsia"/>
                <w:sz w:val="24"/>
                <w:szCs w:val="24"/>
              </w:rPr>
              <w:t>4.采用可编程控制平台，交互式的控制机构，中英文可编程界面。全面支持第三方设备及控制协议，支持用户自定义编程设置任何控制协议或者控制代码。</w:t>
            </w:r>
            <w:r>
              <w:rPr>
                <w:rFonts w:hint="eastAsia"/>
                <w:sz w:val="24"/>
                <w:szCs w:val="24"/>
              </w:rPr>
              <w:br w:type="textWrapping"/>
            </w:r>
            <w:r>
              <w:rPr>
                <w:rFonts w:hint="eastAsia"/>
                <w:sz w:val="24"/>
                <w:szCs w:val="24"/>
              </w:rPr>
              <w:t>5.采用32位Cortex-A8 ARM架构内嵌式处理器，处理速度≥7</w:t>
            </w:r>
            <w:r>
              <w:rPr>
                <w:sz w:val="24"/>
                <w:szCs w:val="24"/>
              </w:rPr>
              <w:t>0</w:t>
            </w:r>
            <w:r>
              <w:rPr>
                <w:rFonts w:hint="eastAsia"/>
                <w:sz w:val="24"/>
                <w:szCs w:val="24"/>
              </w:rPr>
              <w:t>0MHz。主机内置≥256MDPR及8GEMMC的大容量FLASH 存储器。</w:t>
            </w:r>
            <w:r>
              <w:rPr>
                <w:rFonts w:hint="eastAsia"/>
                <w:sz w:val="24"/>
                <w:szCs w:val="24"/>
              </w:rPr>
              <w:br w:type="textWrapping"/>
            </w:r>
            <w:r>
              <w:rPr>
                <w:rFonts w:hint="eastAsia"/>
                <w:sz w:val="24"/>
                <w:szCs w:val="24"/>
              </w:rPr>
              <w:t>6.内嵌智能红外学习功能模块，无须配置专业学习器。可导入各种常用的电器设备的红外代码库到主机，并实现控制。支持串口环出功能，主机的8路串口均可实现任意一个输入都可以从另外一个串口环出。</w:t>
            </w:r>
            <w:r>
              <w:rPr>
                <w:rFonts w:hint="eastAsia"/>
                <w:sz w:val="24"/>
                <w:szCs w:val="24"/>
              </w:rPr>
              <w:br w:type="textWrapping"/>
            </w:r>
            <w:r>
              <w:rPr>
                <w:rFonts w:hint="eastAsia"/>
                <w:sz w:val="24"/>
                <w:szCs w:val="24"/>
              </w:rPr>
              <w:t>7.主机具备8路独立可编程串口，可收发RS-232，RS-485及RS-422信号，8路独立可编程IR红外发射口，8路数字I/0输入输出控制口，带保护电路，8路弱电继电器控制接口，1个NET网络控制接口，可做外部功能扩展使用，可并接256个网络设备。</w:t>
            </w:r>
            <w:r>
              <w:rPr>
                <w:rFonts w:hint="eastAsia"/>
                <w:sz w:val="24"/>
                <w:szCs w:val="24"/>
              </w:rPr>
              <w:br w:type="textWrapping"/>
            </w:r>
            <w:r>
              <w:rPr>
                <w:rFonts w:hint="eastAsia"/>
                <w:sz w:val="24"/>
                <w:szCs w:val="24"/>
              </w:rPr>
              <w:t>8.支持全制式环保电源(110V-240V)，适合任何地区。</w:t>
            </w:r>
            <w:r>
              <w:rPr>
                <w:rFonts w:hint="eastAsia"/>
                <w:sz w:val="24"/>
                <w:szCs w:val="24"/>
              </w:rPr>
              <w:br w:type="textWrapping"/>
            </w:r>
            <w:r>
              <w:rPr>
                <w:rFonts w:hint="eastAsia"/>
                <w:sz w:val="24"/>
                <w:szCs w:val="24"/>
              </w:rPr>
              <w:t>★9.</w:t>
            </w:r>
            <w:r>
              <w:rPr>
                <w:rFonts w:hint="eastAsia"/>
                <w:strike w:val="0"/>
                <w:dstrike w:val="0"/>
                <w:sz w:val="24"/>
                <w:szCs w:val="24"/>
              </w:rPr>
              <w:t>投标时须提供具有</w:t>
            </w:r>
            <w:r>
              <w:rPr>
                <w:strike w:val="0"/>
                <w:dstrike w:val="0"/>
                <w:sz w:val="24"/>
                <w:szCs w:val="24"/>
              </w:rPr>
              <w:t>CNAS</w:t>
            </w:r>
            <w:r>
              <w:rPr>
                <w:rFonts w:hint="eastAsia"/>
                <w:strike w:val="0"/>
                <w:dstrike w:val="0"/>
                <w:sz w:val="24"/>
                <w:szCs w:val="24"/>
              </w:rPr>
              <w:t>、</w:t>
            </w:r>
            <w:r>
              <w:rPr>
                <w:strike w:val="0"/>
                <w:dstrike w:val="0"/>
                <w:sz w:val="24"/>
                <w:szCs w:val="24"/>
              </w:rPr>
              <w:t>CMA</w:t>
            </w:r>
            <w:r>
              <w:rPr>
                <w:rFonts w:hint="eastAsia"/>
                <w:strike w:val="0"/>
                <w:dstrike w:val="0"/>
                <w:sz w:val="24"/>
                <w:szCs w:val="24"/>
              </w:rPr>
              <w:t>、ilac</w:t>
            </w:r>
            <w:r>
              <w:rPr>
                <w:strike w:val="0"/>
                <w:dstrike w:val="0"/>
                <w:sz w:val="24"/>
                <w:szCs w:val="24"/>
              </w:rPr>
              <w:t>-MRA</w:t>
            </w:r>
            <w:r>
              <w:rPr>
                <w:rFonts w:hint="eastAsia"/>
                <w:strike w:val="0"/>
                <w:dstrike w:val="0"/>
                <w:sz w:val="24"/>
                <w:szCs w:val="24"/>
              </w:rPr>
              <w:t>标识的第三方正规权威检验机构出具的产品检验报告复印件并加盖生产厂商公章（检验报告内容必须满足上述所有参数功能要求）</w:t>
            </w:r>
            <w:r>
              <w:rPr>
                <w:rFonts w:hint="eastAsia"/>
                <w:strike w:val="0"/>
                <w:sz w:val="24"/>
                <w:szCs w:val="24"/>
              </w:rPr>
              <w:t>。</w:t>
            </w:r>
          </w:p>
          <w:p>
            <w:pPr>
              <w:pStyle w:val="2"/>
              <w:rPr>
                <w:rFonts w:hint="eastAsia"/>
                <w:sz w:val="24"/>
              </w:rPr>
            </w:pPr>
            <w:r>
              <w:rPr>
                <w:rFonts w:hint="eastAsia" w:ascii="宋体" w:hAnsi="宋体" w:cs="宋体"/>
                <w:kern w:val="0"/>
                <w:sz w:val="24"/>
                <w:lang w:bidi="ar"/>
              </w:rPr>
              <w:t>★10.为保证系统兼容稳定，所投产品（音频处理器、调音台）需为同一品牌，提供厂家售后承诺函。</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网络中控系统逻辑处理内嵌软件</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1.软件内嵌于中央控制系统主机设备，实现系统控制逻辑、处理等功能。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2.主要包括硬件逻辑模块、软件逻辑模块、红外代码管理、编译、下载、监视等。</w:t>
            </w:r>
            <w:r>
              <w:rPr>
                <w:rFonts w:hint="eastAsia" w:ascii="宋体" w:hAnsi="宋体" w:cs="宋体"/>
                <w:kern w:val="0"/>
                <w:sz w:val="24"/>
                <w:szCs w:val="24"/>
                <w:lang w:bidi="ar"/>
              </w:rPr>
              <w:br w:type="textWrapping"/>
            </w:r>
            <w:r>
              <w:rPr>
                <w:rFonts w:hint="eastAsia" w:ascii="宋体" w:hAnsi="宋体" w:cs="宋体"/>
                <w:kern w:val="0"/>
                <w:sz w:val="24"/>
                <w:szCs w:val="24"/>
                <w:lang w:bidi="ar"/>
              </w:rPr>
              <w:t>3.编程软件支持添加与实际工程对应硬件的逻辑模块。</w:t>
            </w:r>
            <w:r>
              <w:rPr>
                <w:rFonts w:hint="eastAsia" w:ascii="宋体" w:hAnsi="宋体" w:cs="宋体"/>
                <w:kern w:val="0"/>
                <w:sz w:val="24"/>
                <w:szCs w:val="24"/>
                <w:lang w:bidi="ar"/>
              </w:rPr>
              <w:br w:type="textWrapping"/>
            </w:r>
            <w:r>
              <w:rPr>
                <w:rFonts w:hint="eastAsia" w:ascii="宋体" w:hAnsi="宋体" w:cs="宋体"/>
                <w:kern w:val="0"/>
                <w:sz w:val="24"/>
                <w:szCs w:val="24"/>
                <w:lang w:bidi="ar"/>
              </w:rPr>
              <w:t>4.实现串口代码数据、IR红外数据、继电器、I/O数据等的代码转发、逻辑算法处理等编程功能。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5.支持界面设计软件实现中控控制界面的制作及编辑，支持互锁模式，支持3D按键等灵活的按键设计模块。</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安卓平板电脑</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华为平板 MatePaD Pro 8GB-256GB 10.8英寸 麒麟990 WIFI 贝母白</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无线路由器</w:t>
            </w:r>
          </w:p>
        </w:tc>
        <w:tc>
          <w:tcPr>
            <w:tcW w:w="7474" w:type="dxa"/>
            <w:noWrap w:val="0"/>
            <w:vAlign w:val="center"/>
          </w:tcPr>
          <w:p>
            <w:pPr>
              <w:widowControl/>
              <w:textAlignment w:val="top"/>
              <w:rPr>
                <w:rFonts w:hint="eastAsia" w:ascii="宋体" w:hAnsi="宋体" w:cs="宋体"/>
                <w:sz w:val="24"/>
                <w:szCs w:val="24"/>
              </w:rPr>
            </w:pPr>
            <w:r>
              <w:rPr>
                <w:rFonts w:hint="eastAsia" w:ascii="宋体" w:hAnsi="宋体" w:cs="宋体"/>
                <w:kern w:val="0"/>
                <w:sz w:val="24"/>
                <w:szCs w:val="24"/>
                <w:lang w:bidi="ar"/>
              </w:rPr>
              <w:t>1200M双频无线路由器，2.4G、5G双频，。外置天线，整机最大无线接入速率1167Mbps，支持802.11b/g/n和802.11a/n/ac Wave1/Wave2。</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both"/>
              <w:textAlignment w:val="center"/>
              <w:rPr>
                <w:rFonts w:hint="eastAsia" w:ascii="宋体" w:hAnsi="宋体" w:cs="宋体"/>
                <w:sz w:val="24"/>
                <w:szCs w:val="24"/>
              </w:rPr>
            </w:pPr>
            <w:r>
              <w:rPr>
                <w:rFonts w:hint="eastAsia" w:ascii="宋体" w:hAnsi="宋体" w:cs="宋体"/>
                <w:kern w:val="0"/>
                <w:sz w:val="24"/>
                <w:szCs w:val="24"/>
                <w:lang w:bidi="ar"/>
              </w:rPr>
              <w:t>1（企业级路由器用于无线投屏、无线控制）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控制器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1.软件内嵌于高清矩阵系统板卡设备，实现信号的处理功能。</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2.支持分辨率高达1920×1080P@60Hz的处理能力。</w:t>
            </w:r>
            <w:r>
              <w:rPr>
                <w:rFonts w:hint="eastAsia" w:ascii="宋体" w:hAnsi="宋体" w:cs="宋体"/>
                <w:kern w:val="0"/>
                <w:sz w:val="24"/>
                <w:szCs w:val="24"/>
                <w:lang w:bidi="ar"/>
              </w:rPr>
              <w:br w:type="textWrapping"/>
            </w:r>
            <w:r>
              <w:rPr>
                <w:rFonts w:hint="eastAsia" w:ascii="宋体" w:hAnsi="宋体" w:cs="宋体"/>
                <w:kern w:val="0"/>
                <w:sz w:val="24"/>
                <w:szCs w:val="24"/>
                <w:lang w:bidi="ar"/>
              </w:rPr>
              <w:t>3.通过矩阵切换信号或通过软件切换信号。</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32"/>
                <w:szCs w:val="32"/>
                <w:lang w:bidi="ar"/>
              </w:rPr>
              <w:t>（四）、投屏设备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无线投屏器</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1、基于linux系统嵌入式硬件架构；</w:t>
            </w:r>
            <w:r>
              <w:rPr>
                <w:rFonts w:hint="eastAsia" w:ascii="宋体" w:hAnsi="宋体" w:cs="宋体"/>
                <w:kern w:val="0"/>
                <w:sz w:val="24"/>
                <w:szCs w:val="24"/>
                <w:lang w:bidi="ar"/>
              </w:rPr>
              <w:br w:type="textWrapping"/>
            </w:r>
            <w:r>
              <w:rPr>
                <w:rFonts w:hint="eastAsia" w:ascii="宋体" w:hAnsi="宋体" w:cs="宋体"/>
                <w:kern w:val="0"/>
                <w:sz w:val="24"/>
                <w:szCs w:val="24"/>
                <w:lang w:bidi="ar"/>
              </w:rPr>
              <w:t>2、企业级4k无线投屏；</w:t>
            </w:r>
            <w:r>
              <w:rPr>
                <w:rFonts w:hint="eastAsia" w:ascii="宋体" w:hAnsi="宋体" w:cs="宋体"/>
                <w:kern w:val="0"/>
                <w:sz w:val="24"/>
                <w:szCs w:val="24"/>
                <w:lang w:bidi="ar"/>
              </w:rPr>
              <w:br w:type="textWrapping"/>
            </w:r>
            <w:r>
              <w:rPr>
                <w:rFonts w:hint="eastAsia" w:ascii="宋体" w:hAnsi="宋体" w:cs="宋体"/>
                <w:kern w:val="0"/>
                <w:sz w:val="24"/>
                <w:szCs w:val="24"/>
                <w:lang w:bidi="ar"/>
              </w:rPr>
              <w:t>3、免驱动、一键投屏；</w:t>
            </w:r>
            <w:r>
              <w:rPr>
                <w:rFonts w:hint="eastAsia" w:ascii="宋体" w:hAnsi="宋体" w:cs="宋体"/>
                <w:kern w:val="0"/>
                <w:sz w:val="24"/>
                <w:szCs w:val="24"/>
                <w:lang w:bidi="ar"/>
              </w:rPr>
              <w:br w:type="textWrapping"/>
            </w:r>
            <w:r>
              <w:rPr>
                <w:rFonts w:hint="eastAsia" w:ascii="宋体" w:hAnsi="宋体" w:cs="宋体"/>
                <w:kern w:val="0"/>
                <w:sz w:val="24"/>
                <w:szCs w:val="24"/>
                <w:lang w:bidi="ar"/>
              </w:rPr>
              <w:t>4、传输距离不低于30米；</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5、支持多方接入、多分屏显示；</w:t>
            </w:r>
            <w:r>
              <w:rPr>
                <w:rFonts w:hint="eastAsia" w:ascii="宋体" w:hAnsi="宋体" w:cs="宋体"/>
                <w:kern w:val="0"/>
                <w:sz w:val="24"/>
                <w:szCs w:val="24"/>
                <w:lang w:bidi="ar"/>
              </w:rPr>
              <w:br w:type="textWrapping"/>
            </w:r>
            <w:r>
              <w:rPr>
                <w:rFonts w:hint="eastAsia" w:ascii="宋体" w:hAnsi="宋体" w:cs="宋体"/>
                <w:kern w:val="0"/>
                <w:sz w:val="24"/>
                <w:szCs w:val="24"/>
                <w:lang w:bidi="ar"/>
              </w:rPr>
              <w:t>6、支持移动终端一键投屏（Airplsy、Miracast）</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both"/>
              <w:textAlignment w:val="center"/>
              <w:rPr>
                <w:rFonts w:hint="eastAsia" w:ascii="宋体" w:hAnsi="宋体" w:cs="宋体"/>
                <w:sz w:val="24"/>
                <w:szCs w:val="24"/>
              </w:rPr>
            </w:pPr>
            <w:r>
              <w:rPr>
                <w:rFonts w:hint="eastAsia" w:cs="宋体"/>
                <w:kern w:val="0"/>
                <w:sz w:val="24"/>
                <w:szCs w:val="24"/>
                <w:lang w:val="en-US" w:eastAsia="zh-CN" w:bidi="ar"/>
              </w:rPr>
              <w:t>1</w:t>
            </w:r>
            <w:r>
              <w:rPr>
                <w:rFonts w:hint="eastAsia" w:ascii="宋体" w:hAnsi="宋体" w:cs="宋体"/>
                <w:kern w:val="0"/>
                <w:sz w:val="24"/>
                <w:szCs w:val="24"/>
                <w:lang w:bidi="ar"/>
              </w:rPr>
              <w:t>（支持笔记本投屏到大屏幕上）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宋体" w:hAnsi="宋体" w:cs="宋体"/>
                <w:b/>
                <w:bCs/>
                <w:kern w:val="0"/>
                <w:sz w:val="28"/>
                <w:szCs w:val="28"/>
                <w:lang w:bidi="ar"/>
              </w:rPr>
              <w:t>（五）、会议桌椅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会议桌</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1、规格尺寸：7200mm×2</w:t>
            </w:r>
            <w:r>
              <w:rPr>
                <w:rFonts w:ascii="宋体" w:hAnsi="宋体" w:cs="宋体"/>
                <w:kern w:val="0"/>
                <w:sz w:val="24"/>
                <w:szCs w:val="24"/>
                <w:lang w:bidi="ar"/>
              </w:rPr>
              <w:t>0</w:t>
            </w:r>
            <w:r>
              <w:rPr>
                <w:rFonts w:hint="eastAsia" w:ascii="宋体" w:hAnsi="宋体" w:cs="宋体"/>
                <w:kern w:val="0"/>
                <w:sz w:val="24"/>
                <w:szCs w:val="24"/>
                <w:lang w:bidi="ar"/>
              </w:rPr>
              <w:t xml:space="preserve">00mm×760mm；                  </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★2、基材：采用E1级中密度纤维板，甲醛释放量≤9mg/100g,含水率≤13%，密度≤0.80g/cm³,板内密度偏差±10.0%，表面结合强度≥0.9MPa, 各项指标符合GB18580-2017《室内装饰装修材料人造板及其制品中甲醛释放限量》、GB/T11718-2009 《中密度纤维板》标准（提供第三方正规权威检测机构出具的带有“CMA”标志的中纤板抽样合格检测报告复印件或扫描件）；                                3、面材：优质天然胡桃木皮贴面，木皮宽度≥200mm ，木皮纹理清晰自然，色泽一致，美观大方，无结疤，无瑕疵，白木实木封边。                           </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4、油漆：采用优质环保专用油漆，挥发性有机化合物含量≤670g/L，苯含量≤0.3%，甲苯、乙苯和二甲苯总和小于≤30%，游离二异氰酸脂（TDI、HDI）含量总和≤0.4%，卤代烃含量≤0.1%，符合GB18581-2009《室内装饰装修材料溶剂型木器涂料中有害物质限量》标准（提供第三方正规检测机构出具的带有“CMA”标志的油漆抽样合格检测报告复印件或扫描件）；                                      </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5、胶水：优质环保胶水，游离甲醛≤1.0g/kg,苯≤0.20g/kg, 甲苯+二甲苯≤10g/kg,总挥发性有机物≤110g/L；                                               </w:t>
            </w:r>
            <w:r>
              <w:rPr>
                <w:rFonts w:hint="eastAsia" w:ascii="宋体" w:hAnsi="宋体" w:cs="宋体"/>
                <w:kern w:val="0"/>
                <w:sz w:val="24"/>
                <w:szCs w:val="24"/>
                <w:lang w:bidi="ar"/>
              </w:rPr>
              <w:br w:type="textWrapping"/>
            </w:r>
            <w:r>
              <w:rPr>
                <w:rFonts w:hint="eastAsia" w:ascii="宋体" w:hAnsi="宋体" w:cs="宋体"/>
                <w:kern w:val="0"/>
                <w:sz w:val="24"/>
                <w:szCs w:val="24"/>
                <w:lang w:bidi="ar"/>
              </w:rPr>
              <w:t>6、五金件：优质五金配件,五金配件紧密拼接，牢固，间隙细小且均匀，平整无毛刺；</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2"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会议椅</w:t>
            </w:r>
          </w:p>
        </w:tc>
        <w:tc>
          <w:tcPr>
            <w:tcW w:w="7474" w:type="dxa"/>
            <w:noWrap w:val="0"/>
            <w:vAlign w:val="top"/>
          </w:tcPr>
          <w:p>
            <w:pPr>
              <w:widowControl/>
              <w:textAlignment w:val="top"/>
              <w:rPr>
                <w:rFonts w:hint="eastAsia" w:ascii="宋体" w:hAnsi="宋体" w:cs="宋体"/>
                <w:kern w:val="0"/>
                <w:sz w:val="24"/>
                <w:szCs w:val="24"/>
                <w:lang w:bidi="ar"/>
              </w:rPr>
            </w:pPr>
            <w:r>
              <w:rPr>
                <w:rFonts w:hint="eastAsia" w:ascii="宋体" w:hAnsi="宋体" w:cs="宋体"/>
                <w:kern w:val="0"/>
                <w:sz w:val="24"/>
                <w:szCs w:val="24"/>
                <w:lang w:bidi="ar"/>
              </w:rPr>
              <w:t xml:space="preserve">1、规格尺寸:630×700×1150mm；          </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2、面料：采用优质环保皮，光面皮厚≥4级，摩擦色牢度光面皮干擦≥4级，撕裂力≥30N,断裂伸长率≥40%，涂层粘着牢度≥2.5N/10mm；                 </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★3、框架：采用优质橡胶木，木材含水率≤12%，耐高低温≥2000小时，耐老化≥4000小时，符合GB/T3324-2017《木家具通用技术条件》、GB/T16734-1997 《中国主要木材名称》、GB/T18513-2001 《中国主要进口木材名称》、GB/T29894-2013 《木材鉴别方法通则》标准（提供第三方正规权威检测机构出具的带有“CMA”标志的橡胶木木块抽样合格检测报告复印件或扫描件）；                               </w:t>
            </w:r>
          </w:p>
          <w:p>
            <w:pPr>
              <w:widowControl/>
              <w:textAlignment w:val="top"/>
              <w:rPr>
                <w:rFonts w:hint="eastAsia"/>
              </w:rPr>
            </w:pPr>
            <w:r>
              <w:rPr>
                <w:rFonts w:hint="eastAsia" w:ascii="宋体" w:hAnsi="宋体" w:cs="宋体"/>
                <w:kern w:val="0"/>
                <w:sz w:val="24"/>
                <w:szCs w:val="24"/>
                <w:lang w:bidi="ar"/>
              </w:rPr>
              <w:t xml:space="preserve">坐板：曲木板材胶合强度≥0.07MPa，板材应无鼓泡、分层；                                 </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★5、海绵：采用优质海绵，无刺激性气味，拉深强度≥90kPa, 撕裂强度≥2.0N/cm,干热老化后拉伸强度≥55kPa，湿热老化后拉伸强度≥55kPa，符合GB/T10802-2006《通用软质聚醚型聚氨酯泡沫塑料》标准（提供第三方正规权威检测机构出具的带有“CMA”标志的海绵抽样合格检测报告复印件或扫描件）；                                           </w:t>
            </w:r>
            <w:r>
              <w:rPr>
                <w:rFonts w:hint="eastAsia" w:ascii="宋体" w:hAnsi="宋体" w:cs="宋体"/>
                <w:kern w:val="0"/>
                <w:sz w:val="24"/>
                <w:szCs w:val="24"/>
                <w:lang w:bidi="ar"/>
              </w:rPr>
              <w:br w:type="textWrapping"/>
            </w:r>
            <w:r>
              <w:rPr>
                <w:rFonts w:hint="eastAsia" w:ascii="宋体" w:hAnsi="宋体" w:cs="宋体"/>
                <w:kern w:val="0"/>
                <w:sz w:val="24"/>
                <w:szCs w:val="24"/>
                <w:lang w:bidi="ar"/>
              </w:rPr>
              <w:t>6、油漆：采用优质环保专用油漆，挥发性有机化合物含量≤670g/L，苯含量≤0.3%，甲苯、乙苯和二甲苯总和小于≤30%，游离二异氰酸脂（TDI、HDI）含量总和≤0.4%，卤代烃含量≤0.1%；</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r>
              <w:rPr>
                <w:rFonts w:ascii="宋体" w:hAnsi="宋体" w:cs="宋体"/>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黑体" w:hAnsi="黑体" w:eastAsia="黑体" w:cs="黑体"/>
                <w:b/>
                <w:bCs/>
                <w:kern w:val="0"/>
                <w:sz w:val="32"/>
                <w:szCs w:val="32"/>
                <w:lang w:bidi="ar"/>
              </w:rPr>
              <w:t>三、7楼接待室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沙发</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1、1+1+3组合方式</w:t>
            </w:r>
            <w:r>
              <w:rPr>
                <w:rFonts w:hint="eastAsia" w:ascii="宋体" w:hAnsi="宋体" w:cs="宋体"/>
                <w:kern w:val="0"/>
                <w:sz w:val="24"/>
                <w:szCs w:val="24"/>
                <w:lang w:bidi="ar"/>
              </w:rPr>
              <w:br w:type="textWrapping"/>
            </w:r>
            <w:r>
              <w:rPr>
                <w:rFonts w:hint="eastAsia" w:ascii="宋体" w:hAnsi="宋体" w:cs="宋体"/>
                <w:kern w:val="0"/>
                <w:sz w:val="24"/>
                <w:szCs w:val="24"/>
                <w:lang w:bidi="ar"/>
              </w:rPr>
              <w:t>2、单人沙发尺寸 宽930mm*深720mm*590mm高</w:t>
            </w:r>
            <w:r>
              <w:rPr>
                <w:rFonts w:hint="eastAsia" w:ascii="宋体" w:hAnsi="宋体" w:cs="宋体"/>
                <w:kern w:val="0"/>
                <w:sz w:val="24"/>
                <w:szCs w:val="24"/>
                <w:lang w:bidi="ar"/>
              </w:rPr>
              <w:br w:type="textWrapping"/>
            </w:r>
            <w:r>
              <w:rPr>
                <w:rFonts w:hint="eastAsia" w:ascii="宋体" w:hAnsi="宋体" w:cs="宋体"/>
                <w:kern w:val="0"/>
                <w:sz w:val="24"/>
                <w:szCs w:val="24"/>
                <w:lang w:bidi="ar"/>
              </w:rPr>
              <w:t>3、三人沙发尺寸 宽1930mm*深720mm*590mm高</w:t>
            </w:r>
            <w:r>
              <w:rPr>
                <w:rFonts w:hint="eastAsia" w:ascii="宋体" w:hAnsi="宋体" w:cs="宋体"/>
                <w:kern w:val="0"/>
                <w:sz w:val="24"/>
                <w:szCs w:val="24"/>
                <w:lang w:bidi="ar"/>
              </w:rPr>
              <w:br w:type="textWrapping"/>
            </w:r>
            <w:r>
              <w:rPr>
                <w:rFonts w:hint="eastAsia" w:ascii="宋体" w:hAnsi="宋体" w:cs="宋体"/>
                <w:kern w:val="0"/>
                <w:sz w:val="24"/>
                <w:szCs w:val="24"/>
                <w:lang w:bidi="ar"/>
              </w:rPr>
              <w:t>4、牛皮</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组</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茶几</w:t>
            </w:r>
          </w:p>
        </w:tc>
        <w:tc>
          <w:tcPr>
            <w:tcW w:w="7474" w:type="dxa"/>
            <w:noWrap w:val="0"/>
            <w:vAlign w:val="top"/>
          </w:tcPr>
          <w:p>
            <w:pPr>
              <w:widowControl/>
              <w:textAlignment w:val="top"/>
              <w:rPr>
                <w:rFonts w:hint="eastAsia" w:ascii="宋体" w:hAnsi="宋体" w:cs="宋体"/>
                <w:sz w:val="24"/>
                <w:szCs w:val="24"/>
              </w:rPr>
            </w:pPr>
            <w:r>
              <w:rPr>
                <w:rFonts w:hint="eastAsia" w:ascii="宋体" w:hAnsi="宋体" w:cs="宋体"/>
                <w:kern w:val="0"/>
                <w:sz w:val="24"/>
                <w:szCs w:val="24"/>
                <w:lang w:bidi="ar"/>
              </w:rPr>
              <w:t>1、宽1200mm*深600mm*45mm</w:t>
            </w:r>
            <w:r>
              <w:rPr>
                <w:rFonts w:hint="eastAsia" w:ascii="宋体" w:hAnsi="宋体" w:cs="宋体"/>
                <w:kern w:val="0"/>
                <w:sz w:val="24"/>
                <w:szCs w:val="24"/>
                <w:lang w:bidi="ar"/>
              </w:rPr>
              <w:br w:type="textWrapping"/>
            </w:r>
            <w:r>
              <w:rPr>
                <w:rFonts w:hint="eastAsia" w:ascii="宋体" w:hAnsi="宋体" w:cs="宋体"/>
                <w:kern w:val="0"/>
                <w:sz w:val="24"/>
                <w:szCs w:val="24"/>
                <w:lang w:bidi="ar"/>
              </w:rPr>
              <w:t>2、不锈钢支架、钢化玻璃双层</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组</w:t>
            </w:r>
          </w:p>
        </w:tc>
        <w:tc>
          <w:tcPr>
            <w:tcW w:w="739"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204" w:type="dxa"/>
            <w:gridSpan w:val="5"/>
            <w:noWrap w:val="0"/>
            <w:vAlign w:val="center"/>
          </w:tcPr>
          <w:p>
            <w:pPr>
              <w:widowControl/>
              <w:jc w:val="left"/>
              <w:textAlignment w:val="center"/>
              <w:rPr>
                <w:rFonts w:hint="eastAsia" w:ascii="宋体" w:hAnsi="宋体" w:cs="宋体"/>
                <w:b/>
                <w:bCs/>
                <w:sz w:val="24"/>
                <w:szCs w:val="24"/>
              </w:rPr>
            </w:pPr>
            <w:r>
              <w:rPr>
                <w:rFonts w:hint="eastAsia" w:ascii="黑体" w:hAnsi="黑体" w:eastAsia="黑体" w:cs="黑体"/>
                <w:b/>
                <w:bCs/>
                <w:kern w:val="0"/>
                <w:sz w:val="32"/>
                <w:szCs w:val="32"/>
                <w:lang w:bidi="ar"/>
              </w:rPr>
              <w:t>四、系统维保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705" w:type="dxa"/>
            <w:noWrap w:val="0"/>
            <w:vAlign w:val="center"/>
          </w:tcPr>
          <w:p>
            <w:pPr>
              <w:widowControl/>
              <w:jc w:val="center"/>
              <w:textAlignment w:val="center"/>
              <w:rPr>
                <w:rFonts w:ascii="宋体" w:hAnsi="宋体" w:cs="宋体"/>
                <w:sz w:val="24"/>
                <w:szCs w:val="24"/>
              </w:rPr>
            </w:pPr>
            <w:r>
              <w:rPr>
                <w:rFonts w:hint="eastAsia" w:ascii="宋体" w:hAnsi="宋体" w:cs="宋体"/>
                <w:sz w:val="24"/>
                <w:szCs w:val="24"/>
              </w:rPr>
              <w:t>集成服务</w:t>
            </w:r>
          </w:p>
        </w:tc>
        <w:tc>
          <w:tcPr>
            <w:tcW w:w="7474" w:type="dxa"/>
            <w:noWrap w:val="0"/>
            <w:vAlign w:val="center"/>
          </w:tcPr>
          <w:p>
            <w:pPr>
              <w:rPr>
                <w:rFonts w:hint="eastAsia" w:ascii="宋体" w:hAnsi="宋体" w:cs="宋体"/>
                <w:sz w:val="24"/>
                <w:szCs w:val="24"/>
              </w:rPr>
            </w:pPr>
            <w:r>
              <w:rPr>
                <w:rFonts w:hint="eastAsia" w:ascii="宋体" w:hAnsi="宋体" w:cs="宋体"/>
                <w:kern w:val="0"/>
                <w:sz w:val="24"/>
                <w:szCs w:val="24"/>
                <w:lang w:bidi="ar"/>
              </w:rPr>
              <w:t>包含现场所需安装配套辅材，电源线、音频线、输入电缆，安装调试培训等；</w:t>
            </w:r>
          </w:p>
        </w:tc>
        <w:tc>
          <w:tcPr>
            <w:tcW w:w="76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项</w:t>
            </w:r>
          </w:p>
        </w:tc>
        <w:tc>
          <w:tcPr>
            <w:tcW w:w="739"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2</w:t>
            </w:r>
          </w:p>
        </w:tc>
        <w:tc>
          <w:tcPr>
            <w:tcW w:w="705" w:type="dxa"/>
            <w:noWrap w:val="0"/>
            <w:vAlign w:val="center"/>
          </w:tcPr>
          <w:p>
            <w:pPr>
              <w:widowControl/>
              <w:jc w:val="center"/>
              <w:textAlignment w:val="center"/>
              <w:rPr>
                <w:rFonts w:ascii="宋体" w:hAnsi="宋体" w:cs="宋体"/>
                <w:sz w:val="24"/>
                <w:szCs w:val="24"/>
              </w:rPr>
            </w:pPr>
            <w:r>
              <w:rPr>
                <w:rFonts w:hint="eastAsia" w:ascii="宋体" w:hAnsi="宋体" w:cs="宋体"/>
                <w:sz w:val="24"/>
                <w:szCs w:val="24"/>
              </w:rPr>
              <w:t>会议保障</w:t>
            </w:r>
          </w:p>
        </w:tc>
        <w:tc>
          <w:tcPr>
            <w:tcW w:w="7474" w:type="dxa"/>
            <w:noWrap w:val="0"/>
            <w:vAlign w:val="center"/>
          </w:tcPr>
          <w:p>
            <w:pPr>
              <w:rPr>
                <w:rFonts w:hint="eastAsia" w:ascii="宋体" w:hAnsi="宋体" w:cs="宋体"/>
                <w:kern w:val="0"/>
                <w:sz w:val="24"/>
                <w:szCs w:val="24"/>
                <w:lang w:bidi="ar"/>
              </w:rPr>
            </w:pPr>
            <w:r>
              <w:rPr>
                <w:rFonts w:hint="eastAsia" w:ascii="宋体" w:hAnsi="宋体" w:cs="宋体"/>
                <w:kern w:val="0"/>
                <w:sz w:val="24"/>
                <w:szCs w:val="24"/>
                <w:lang w:bidi="ar"/>
              </w:rPr>
              <w:t>提供3年内部级、省级会议专业工程师现场技术保障。</w:t>
            </w:r>
          </w:p>
        </w:tc>
        <w:tc>
          <w:tcPr>
            <w:tcW w:w="76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项</w:t>
            </w:r>
          </w:p>
        </w:tc>
        <w:tc>
          <w:tcPr>
            <w:tcW w:w="739"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3</w:t>
            </w:r>
          </w:p>
        </w:tc>
        <w:tc>
          <w:tcPr>
            <w:tcW w:w="705" w:type="dxa"/>
            <w:noWrap w:val="0"/>
            <w:vAlign w:val="center"/>
          </w:tcPr>
          <w:p>
            <w:pPr>
              <w:widowControl/>
              <w:textAlignment w:val="center"/>
              <w:rPr>
                <w:rFonts w:ascii="宋体" w:hAnsi="宋体" w:cs="宋体"/>
                <w:sz w:val="24"/>
                <w:szCs w:val="24"/>
              </w:rPr>
            </w:pPr>
            <w:r>
              <w:rPr>
                <w:rFonts w:hint="eastAsia" w:ascii="宋体" w:hAnsi="宋体" w:cs="宋体"/>
                <w:sz w:val="24"/>
                <w:szCs w:val="24"/>
              </w:rPr>
              <w:t>维保服务</w:t>
            </w:r>
          </w:p>
        </w:tc>
        <w:tc>
          <w:tcPr>
            <w:tcW w:w="7474" w:type="dxa"/>
            <w:noWrap w:val="0"/>
            <w:vAlign w:val="center"/>
          </w:tcPr>
          <w:p>
            <w:pPr>
              <w:rPr>
                <w:rFonts w:ascii="宋体" w:hAnsi="宋体" w:cs="宋体"/>
                <w:kern w:val="0"/>
                <w:sz w:val="24"/>
                <w:szCs w:val="24"/>
                <w:lang w:bidi="ar"/>
              </w:rPr>
            </w:pPr>
            <w:r>
              <w:rPr>
                <w:rFonts w:hint="eastAsia" w:ascii="宋体" w:hAnsi="宋体" w:cs="宋体"/>
                <w:kern w:val="0"/>
                <w:sz w:val="24"/>
                <w:szCs w:val="24"/>
                <w:lang w:bidi="ar"/>
              </w:rPr>
              <w:t>提供3年维保服务，保障设备运行正常。</w:t>
            </w:r>
          </w:p>
        </w:tc>
        <w:tc>
          <w:tcPr>
            <w:tcW w:w="763"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项</w:t>
            </w:r>
          </w:p>
        </w:tc>
        <w:tc>
          <w:tcPr>
            <w:tcW w:w="739" w:type="dxa"/>
            <w:noWrap w:val="0"/>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r>
    </w:tbl>
    <w:p>
      <w:pPr>
        <w:rPr>
          <w:rFonts w:ascii="宋体" w:hAnsi="宋体" w:cs="宋体"/>
          <w:b/>
          <w:bCs/>
          <w:color w:val="000000"/>
          <w:sz w:val="24"/>
        </w:rPr>
      </w:pPr>
    </w:p>
    <w:p>
      <w:pPr>
        <w:pStyle w:val="2"/>
        <w:keepNext w:val="0"/>
        <w:keepLines w:val="0"/>
        <w:pageBreakBefore w:val="0"/>
        <w:widowControl/>
        <w:kinsoku/>
        <w:wordWrap/>
        <w:overflowPunct/>
        <w:topLinePunct w:val="0"/>
        <w:autoSpaceDE/>
        <w:autoSpaceDN/>
        <w:bidi w:val="0"/>
        <w:adjustRightInd/>
        <w:snapToGrid/>
        <w:spacing w:line="540" w:lineRule="exact"/>
        <w:textAlignment w:val="baseline"/>
        <w:outlineLvl w:val="0"/>
        <w:rPr>
          <w:rFonts w:hint="eastAsia" w:ascii="黑体" w:hAnsi="黑体" w:eastAsia="黑体" w:cs="黑体"/>
          <w:sz w:val="32"/>
          <w:szCs w:val="32"/>
        </w:rPr>
      </w:pPr>
    </w:p>
    <w:p>
      <w:pPr>
        <w:pStyle w:val="2"/>
        <w:keepNext w:val="0"/>
        <w:keepLines w:val="0"/>
        <w:pageBreakBefore w:val="0"/>
        <w:widowControl/>
        <w:kinsoku/>
        <w:wordWrap/>
        <w:overflowPunct/>
        <w:topLinePunct w:val="0"/>
        <w:autoSpaceDE/>
        <w:autoSpaceDN/>
        <w:bidi w:val="0"/>
        <w:adjustRightInd/>
        <w:snapToGrid/>
        <w:spacing w:line="540" w:lineRule="exact"/>
        <w:textAlignment w:val="baseline"/>
        <w:outlineLvl w:val="0"/>
        <w:rPr>
          <w:rFonts w:hint="eastAsia" w:ascii="黑体" w:hAnsi="黑体" w:eastAsia="黑体" w:cs="黑体"/>
          <w:sz w:val="32"/>
          <w:szCs w:val="32"/>
        </w:rPr>
      </w:pPr>
      <w:r>
        <w:rPr>
          <w:rFonts w:hint="eastAsia" w:ascii="黑体" w:hAnsi="黑体" w:eastAsia="黑体" w:cs="黑体"/>
          <w:sz w:val="32"/>
          <w:szCs w:val="32"/>
        </w:rPr>
        <w:t xml:space="preserve">二、其他要求： </w:t>
      </w:r>
    </w:p>
    <w:p>
      <w:pPr>
        <w:pStyle w:val="2"/>
        <w:keepNext w:val="0"/>
        <w:keepLines w:val="0"/>
        <w:pageBreakBefore w:val="0"/>
        <w:widowControl/>
        <w:kinsoku/>
        <w:wordWrap/>
        <w:overflowPunct/>
        <w:topLinePunct w:val="0"/>
        <w:autoSpaceDE/>
        <w:autoSpaceDN/>
        <w:bidi w:val="0"/>
        <w:adjustRightInd/>
        <w:snapToGrid/>
        <w:spacing w:line="5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1、项目预算：</w:t>
      </w:r>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rPr>
        <w:t xml:space="preserve">万元人民币。 </w:t>
      </w:r>
    </w:p>
    <w:p>
      <w:pPr>
        <w:pStyle w:val="2"/>
        <w:keepNext w:val="0"/>
        <w:keepLines w:val="0"/>
        <w:pageBreakBefore w:val="0"/>
        <w:widowControl/>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2、供货时间：自合同签订之日起 30 个日历天内供货并安装调试完毕。 </w:t>
      </w:r>
    </w:p>
    <w:p>
      <w:pPr>
        <w:pStyle w:val="2"/>
        <w:keepNext w:val="0"/>
        <w:keepLines w:val="0"/>
        <w:pageBreakBefore w:val="0"/>
        <w:widowControl/>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须</w:t>
      </w:r>
      <w:r>
        <w:rPr>
          <w:rFonts w:hint="eastAsia" w:ascii="宋体" w:hAnsi="宋体" w:eastAsia="宋体" w:cs="宋体"/>
          <w:sz w:val="24"/>
          <w:szCs w:val="24"/>
        </w:rPr>
        <w:t>保证</w:t>
      </w:r>
      <w:r>
        <w:rPr>
          <w:rFonts w:hint="eastAsia" w:ascii="宋体" w:hAnsi="宋体" w:eastAsia="宋体" w:cs="宋体"/>
          <w:color w:val="auto"/>
          <w:sz w:val="24"/>
          <w:szCs w:val="24"/>
        </w:rPr>
        <w:t>10楼</w:t>
      </w:r>
      <w:r>
        <w:rPr>
          <w:rFonts w:hint="eastAsia" w:ascii="宋体" w:hAnsi="宋体" w:eastAsia="宋体" w:cs="宋体"/>
          <w:color w:val="auto"/>
          <w:sz w:val="24"/>
          <w:szCs w:val="24"/>
          <w:lang w:val="en-US" w:eastAsia="zh-CN"/>
        </w:rPr>
        <w:t>会议室</w:t>
      </w:r>
      <w:r>
        <w:rPr>
          <w:rFonts w:hint="eastAsia" w:ascii="宋体" w:hAnsi="宋体" w:eastAsia="宋体" w:cs="宋体"/>
          <w:color w:val="auto"/>
          <w:sz w:val="24"/>
          <w:szCs w:val="24"/>
        </w:rPr>
        <w:t>会议系统正常使用</w:t>
      </w:r>
      <w:r>
        <w:rPr>
          <w:rFonts w:hint="eastAsia" w:ascii="宋体" w:hAnsi="宋体" w:eastAsia="宋体" w:cs="宋体"/>
          <w:sz w:val="24"/>
          <w:szCs w:val="24"/>
        </w:rPr>
        <w:t>，调测通畅无问题，</w:t>
      </w:r>
      <w:r>
        <w:rPr>
          <w:rFonts w:hint="eastAsia" w:ascii="宋体" w:hAnsi="宋体" w:eastAsia="宋体" w:cs="宋体"/>
          <w:sz w:val="24"/>
          <w:szCs w:val="24"/>
          <w:lang w:eastAsia="zh-CN"/>
        </w:rPr>
        <w:t>验收合格后，按合同约定付款。</w:t>
      </w:r>
    </w:p>
    <w:p>
      <w:pPr>
        <w:pStyle w:val="2"/>
        <w:keepNext w:val="0"/>
        <w:keepLines w:val="0"/>
        <w:pageBreakBefore w:val="0"/>
        <w:widowControl/>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4、投标人中标公示后 5 日内需提供相关证书及证明材料原件供采购人查验，无法提供或提供虚假材料，即视为虚假投标，将由有关部门追究其相关法律责任。 </w:t>
      </w:r>
    </w:p>
    <w:p>
      <w:pPr>
        <w:pStyle w:val="2"/>
        <w:keepNext w:val="0"/>
        <w:keepLines w:val="0"/>
        <w:pageBreakBefore w:val="0"/>
        <w:widowControl/>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5、中标人须提供至少3年的维保服务，所有维保费用均已包含在投标报价中，质保期满后，应提供优先的有偿售后服务及按不高于投标文件中主要配件、易损件清单所报价格供应原厂零配件等。 </w:t>
      </w:r>
    </w:p>
    <w:p>
      <w:pPr>
        <w:pStyle w:val="2"/>
        <w:keepNext w:val="0"/>
        <w:keepLines w:val="0"/>
        <w:pageBreakBefore w:val="0"/>
        <w:widowControl/>
        <w:kinsoku/>
        <w:wordWrap/>
        <w:overflowPunct/>
        <w:topLinePunct w:val="0"/>
        <w:autoSpaceDE/>
        <w:autoSpaceDN/>
        <w:bidi w:val="0"/>
        <w:adjustRightInd/>
        <w:snapToGrid/>
        <w:spacing w:line="540" w:lineRule="exact"/>
        <w:textAlignment w:val="baseline"/>
        <w:rPr>
          <w:rFonts w:hint="eastAsia" w:ascii="宋体" w:hAnsi="宋体" w:eastAsia="宋体" w:cs="宋体"/>
          <w:sz w:val="24"/>
          <w:szCs w:val="24"/>
        </w:rPr>
      </w:pPr>
      <w:r>
        <w:rPr>
          <w:rFonts w:hint="eastAsia" w:ascii="宋体" w:hAnsi="宋体" w:eastAsia="宋体" w:cs="宋体"/>
          <w:sz w:val="24"/>
          <w:szCs w:val="24"/>
        </w:rPr>
        <w:t>6、培训：中标人负责为招标方操作人员提供操作、维护及诊断人员培训，直至其能熟练独立操作及日常维护与保养，简单故障诊断与排除。</w:t>
      </w:r>
    </w:p>
    <w:p>
      <w:pPr>
        <w:spacing w:line="360" w:lineRule="auto"/>
        <w:ind w:firstLine="480" w:firstLineChars="200"/>
        <w:rPr>
          <w:rFonts w:hint="eastAsia" w:ascii="宋体" w:hAnsi="宋体" w:eastAsia="宋体" w:cs="宋体"/>
          <w:sz w:val="24"/>
          <w:szCs w:val="24"/>
        </w:rPr>
      </w:pPr>
    </w:p>
    <w:p>
      <w:pPr>
        <w:pStyle w:val="22"/>
        <w:rPr>
          <w:rFonts w:hAnsi="宋体" w:cs="宋体"/>
          <w:sz w:val="24"/>
        </w:rPr>
      </w:pPr>
    </w:p>
    <w:p>
      <w:pPr>
        <w:rPr>
          <w:rFonts w:ascii="宋体" w:hAnsi="宋体"/>
          <w:b/>
          <w:kern w:val="0"/>
        </w:rPr>
      </w:pPr>
      <w:bookmarkStart w:id="90" w:name="_Toc484070273"/>
      <w:r>
        <w:rPr>
          <w:rFonts w:hint="eastAsia" w:ascii="宋体" w:hAnsi="宋体"/>
          <w:b/>
          <w:kern w:val="0"/>
        </w:rPr>
        <w:br w:type="page"/>
      </w:r>
    </w:p>
    <w:p>
      <w:pPr>
        <w:pStyle w:val="3"/>
        <w:keepNext w:val="0"/>
        <w:spacing w:before="360" w:beforeLines="150" w:after="240" w:afterLines="100" w:line="460" w:lineRule="exact"/>
        <w:ind w:left="0" w:firstLine="0"/>
        <w:jc w:val="center"/>
        <w:rPr>
          <w:rFonts w:ascii="宋体" w:hAnsi="宋体" w:cs="Arial"/>
          <w:b/>
          <w:sz w:val="24"/>
        </w:rPr>
      </w:pPr>
      <w:r>
        <w:rPr>
          <w:rFonts w:hint="eastAsia" w:ascii="宋体" w:hAnsi="宋体" w:eastAsia="宋体"/>
          <w:b/>
          <w:kern w:val="0"/>
        </w:rPr>
        <w:t>第五章  评标办法</w:t>
      </w:r>
      <w:bookmarkEnd w:id="64"/>
      <w:bookmarkEnd w:id="90"/>
    </w:p>
    <w:p>
      <w:pPr>
        <w:spacing w:line="360" w:lineRule="auto"/>
        <w:rPr>
          <w:rFonts w:ascii="宋体" w:hAnsi="宋体" w:cs="Arial"/>
          <w:b/>
          <w:sz w:val="24"/>
        </w:rPr>
      </w:pPr>
      <w:r>
        <w:rPr>
          <w:rFonts w:hint="eastAsia" w:ascii="宋体" w:hAnsi="宋体" w:cs="Arial"/>
          <w:b/>
          <w:sz w:val="24"/>
        </w:rPr>
        <w:t>一、总则</w:t>
      </w:r>
    </w:p>
    <w:p>
      <w:pPr>
        <w:spacing w:line="360" w:lineRule="auto"/>
        <w:ind w:firstLine="480" w:firstLineChars="200"/>
        <w:rPr>
          <w:rFonts w:ascii="宋体" w:hAnsi="宋体" w:cs="Arial"/>
          <w:sz w:val="24"/>
        </w:rPr>
      </w:pPr>
      <w:r>
        <w:rPr>
          <w:rFonts w:hint="eastAsia" w:ascii="宋体" w:hAnsi="宋体" w:cs="Arial"/>
          <w:sz w:val="24"/>
        </w:rPr>
        <w:t>1、依照</w:t>
      </w:r>
      <w:r>
        <w:rPr>
          <w:rFonts w:hint="eastAsia" w:ascii="宋体" w:hAnsi="宋体"/>
          <w:sz w:val="24"/>
        </w:rPr>
        <w:t>《中华人民共和国招标投标法》</w:t>
      </w:r>
      <w:r>
        <w:rPr>
          <w:rFonts w:hint="eastAsia" w:ascii="宋体" w:hAnsi="宋体" w:cs="Arial"/>
          <w:sz w:val="24"/>
        </w:rPr>
        <w:t>以及</w:t>
      </w:r>
      <w:r>
        <w:rPr>
          <w:rFonts w:hint="eastAsia" w:ascii="宋体" w:hAnsi="宋体"/>
          <w:sz w:val="24"/>
        </w:rPr>
        <w:t>《中华人民共和国招标投标法实施条例》等</w:t>
      </w:r>
      <w:r>
        <w:rPr>
          <w:rFonts w:hint="eastAsia" w:ascii="宋体" w:hAnsi="宋体" w:cs="Arial"/>
          <w:sz w:val="24"/>
        </w:rPr>
        <w:t>有关规定，结合本项目的特点制定本评标办法。本次招标评标采用综合评分法，即在满足招标文件实质性要求前提下，按照招标文件中规定的评分标准和各项评审因素进行综合评审后，从高到低顺序推荐1-3名有排序的合格的中标候选人。</w:t>
      </w:r>
    </w:p>
    <w:p>
      <w:pPr>
        <w:spacing w:line="360" w:lineRule="auto"/>
        <w:ind w:firstLine="480" w:firstLineChars="200"/>
        <w:rPr>
          <w:rFonts w:ascii="宋体" w:hAnsi="宋体" w:cs="Arial"/>
          <w:sz w:val="24"/>
        </w:rPr>
      </w:pPr>
      <w:r>
        <w:rPr>
          <w:rFonts w:hint="eastAsia" w:ascii="宋体" w:hAnsi="宋体" w:cs="Arial"/>
          <w:sz w:val="24"/>
        </w:rPr>
        <w:t>2、评标原则</w:t>
      </w:r>
    </w:p>
    <w:p>
      <w:pPr>
        <w:spacing w:line="360" w:lineRule="auto"/>
        <w:ind w:firstLine="360" w:firstLineChars="150"/>
        <w:rPr>
          <w:rFonts w:ascii="宋体" w:hAnsi="宋体" w:cs="Arial"/>
          <w:sz w:val="24"/>
        </w:rPr>
      </w:pPr>
      <w:r>
        <w:rPr>
          <w:rFonts w:hint="eastAsia" w:ascii="宋体" w:hAnsi="宋体" w:cs="Arial"/>
          <w:sz w:val="24"/>
        </w:rPr>
        <w:t>（1）投标人提交的投标文件必须符合招标文件的规定和要求。</w:t>
      </w:r>
    </w:p>
    <w:p>
      <w:pPr>
        <w:spacing w:line="360" w:lineRule="auto"/>
        <w:ind w:firstLine="360" w:firstLineChars="150"/>
        <w:rPr>
          <w:rFonts w:ascii="宋体" w:hAnsi="宋体" w:cs="Arial"/>
          <w:sz w:val="24"/>
        </w:rPr>
      </w:pPr>
      <w:r>
        <w:rPr>
          <w:rFonts w:hint="eastAsia" w:ascii="宋体" w:hAnsi="宋体" w:cs="Arial"/>
          <w:sz w:val="24"/>
        </w:rPr>
        <w:t>（2）评标的目的是在满足服务质量、期限的前提下，提高效率，优化流程，降低费用。</w:t>
      </w:r>
    </w:p>
    <w:p>
      <w:pPr>
        <w:spacing w:line="360" w:lineRule="auto"/>
        <w:ind w:firstLine="360" w:firstLineChars="150"/>
        <w:rPr>
          <w:rFonts w:ascii="宋体" w:hAnsi="宋体" w:cs="Arial"/>
          <w:sz w:val="24"/>
        </w:rPr>
      </w:pPr>
      <w:r>
        <w:rPr>
          <w:rFonts w:hint="eastAsia" w:ascii="宋体" w:hAnsi="宋体" w:cs="Arial"/>
          <w:sz w:val="24"/>
        </w:rPr>
        <w:t>（3）评标活动遵循公平、公正、科学、择优的原则。</w:t>
      </w:r>
    </w:p>
    <w:p>
      <w:pPr>
        <w:spacing w:line="360" w:lineRule="auto"/>
        <w:ind w:firstLine="360" w:firstLineChars="150"/>
        <w:rPr>
          <w:rFonts w:ascii="宋体" w:hAnsi="宋体" w:cs="Arial"/>
          <w:sz w:val="24"/>
        </w:rPr>
      </w:pPr>
      <w:r>
        <w:rPr>
          <w:rFonts w:hint="eastAsia" w:ascii="宋体" w:hAnsi="宋体" w:cs="Arial"/>
          <w:sz w:val="24"/>
        </w:rPr>
        <w:t>（4）评标委员会仅根据投标文件作为评标依据，任何其他的外部证据均不得作为评标依据。</w:t>
      </w:r>
    </w:p>
    <w:p>
      <w:pPr>
        <w:spacing w:line="360" w:lineRule="auto"/>
        <w:ind w:firstLine="360" w:firstLineChars="150"/>
        <w:rPr>
          <w:rFonts w:ascii="宋体" w:hAnsi="宋体" w:cs="Arial"/>
          <w:sz w:val="24"/>
        </w:rPr>
      </w:pPr>
      <w:r>
        <w:rPr>
          <w:rFonts w:hint="eastAsia" w:ascii="宋体" w:hAnsi="宋体" w:cs="Arial"/>
          <w:sz w:val="24"/>
        </w:rPr>
        <w:t>（5）本评标办法未尽事宜以招标投标法律、法规为准。</w:t>
      </w:r>
    </w:p>
    <w:p>
      <w:pPr>
        <w:spacing w:line="360" w:lineRule="auto"/>
        <w:rPr>
          <w:rFonts w:ascii="宋体" w:hAnsi="宋体" w:cs="Arial"/>
          <w:b/>
          <w:sz w:val="24"/>
        </w:rPr>
      </w:pPr>
      <w:r>
        <w:rPr>
          <w:rFonts w:hint="eastAsia" w:ascii="宋体" w:hAnsi="宋体" w:cs="Arial"/>
          <w:b/>
          <w:sz w:val="24"/>
        </w:rPr>
        <w:t>二、评标委员会组成及职责</w:t>
      </w:r>
    </w:p>
    <w:p>
      <w:pPr>
        <w:spacing w:line="360" w:lineRule="auto"/>
        <w:ind w:firstLine="360" w:firstLineChars="150"/>
        <w:rPr>
          <w:rFonts w:ascii="宋体" w:hAnsi="宋体" w:cs="Arial"/>
          <w:sz w:val="24"/>
        </w:rPr>
      </w:pPr>
      <w:r>
        <w:rPr>
          <w:rFonts w:hint="eastAsia" w:ascii="宋体" w:hAnsi="宋体" w:cs="Arial"/>
          <w:sz w:val="24"/>
        </w:rPr>
        <w:t>（1）评标委员会</w:t>
      </w:r>
    </w:p>
    <w:p>
      <w:pPr>
        <w:spacing w:line="360" w:lineRule="auto"/>
        <w:ind w:firstLine="480" w:firstLineChars="200"/>
        <w:rPr>
          <w:rFonts w:ascii="宋体" w:hAnsi="宋体" w:cs="Arial"/>
          <w:sz w:val="24"/>
        </w:rPr>
      </w:pPr>
      <w:r>
        <w:rPr>
          <w:rFonts w:hint="eastAsia" w:ascii="宋体" w:hAnsi="宋体" w:cs="Arial"/>
          <w:sz w:val="24"/>
        </w:rPr>
        <w:t>评标委员会由招标人依法组建，由5人及以上单数组成。评标委员会成员从相关专家库中随机抽取。</w:t>
      </w:r>
    </w:p>
    <w:p>
      <w:pPr>
        <w:spacing w:line="360" w:lineRule="auto"/>
        <w:ind w:firstLine="360" w:firstLineChars="150"/>
        <w:rPr>
          <w:rFonts w:ascii="宋体" w:hAnsi="宋体" w:cs="Arial"/>
          <w:sz w:val="24"/>
        </w:rPr>
      </w:pPr>
      <w:r>
        <w:rPr>
          <w:rFonts w:hint="eastAsia" w:ascii="宋体" w:hAnsi="宋体" w:cs="Arial"/>
          <w:sz w:val="24"/>
        </w:rPr>
        <w:t>（2）评标委员会的职责</w:t>
      </w:r>
    </w:p>
    <w:p>
      <w:pPr>
        <w:spacing w:line="360" w:lineRule="auto"/>
        <w:ind w:firstLine="480" w:firstLineChars="200"/>
        <w:rPr>
          <w:rFonts w:ascii="宋体" w:hAnsi="宋体" w:cs="Arial"/>
          <w:sz w:val="24"/>
        </w:rPr>
      </w:pPr>
      <w:r>
        <w:rPr>
          <w:rFonts w:ascii="宋体" w:hAnsi="宋体" w:cs="Arial"/>
          <w:sz w:val="24"/>
        </w:rPr>
        <w:t>评标委员会</w:t>
      </w:r>
      <w:r>
        <w:rPr>
          <w:rFonts w:hint="eastAsia" w:ascii="宋体" w:hAnsi="宋体" w:cs="Arial"/>
          <w:sz w:val="24"/>
        </w:rPr>
        <w:t>应当根据本评标办法，对投标文件进行评审和比较，向招标人推荐中标候选人或根据招标人的授权直接确定中标人。</w:t>
      </w:r>
      <w:r>
        <w:rPr>
          <w:rFonts w:ascii="宋体" w:hAnsi="宋体" w:cs="Arial"/>
          <w:sz w:val="24"/>
        </w:rPr>
        <w:t>各评委独立评审，</w:t>
      </w:r>
      <w:r>
        <w:rPr>
          <w:rFonts w:hint="eastAsia" w:ascii="宋体" w:hAnsi="宋体" w:cs="Arial"/>
          <w:sz w:val="24"/>
        </w:rPr>
        <w:t>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Style w:val="3"/>
        <w:spacing w:line="360" w:lineRule="auto"/>
        <w:ind w:left="0" w:firstLine="0"/>
        <w:rPr>
          <w:rFonts w:ascii="宋体" w:hAnsi="宋体" w:eastAsia="宋体" w:cs="宋体"/>
          <w:b/>
          <w:sz w:val="24"/>
          <w:szCs w:val="24"/>
        </w:rPr>
      </w:pPr>
      <w:r>
        <w:rPr>
          <w:rFonts w:hint="eastAsia" w:ascii="宋体" w:hAnsi="宋体" w:eastAsia="宋体" w:cs="宋体"/>
          <w:b/>
          <w:sz w:val="24"/>
          <w:szCs w:val="24"/>
        </w:rPr>
        <w:t>三、评标方法</w:t>
      </w:r>
    </w:p>
    <w:p>
      <w:pPr>
        <w:spacing w:line="360" w:lineRule="auto"/>
        <w:ind w:firstLine="484" w:firstLineChars="202"/>
        <w:rPr>
          <w:rFonts w:ascii="宋体" w:hAnsi="宋体" w:cs="Arial"/>
          <w:sz w:val="24"/>
        </w:rPr>
      </w:pPr>
      <w:r>
        <w:rPr>
          <w:rFonts w:ascii="宋体" w:hAnsi="宋体" w:cs="Arial"/>
          <w:sz w:val="24"/>
        </w:rPr>
        <w:t>综合评</w:t>
      </w:r>
      <w:r>
        <w:rPr>
          <w:rFonts w:hint="eastAsia" w:ascii="宋体" w:hAnsi="宋体" w:cs="Arial"/>
          <w:sz w:val="24"/>
        </w:rPr>
        <w:t>分</w:t>
      </w:r>
      <w:r>
        <w:rPr>
          <w:rFonts w:ascii="宋体" w:hAnsi="宋体" w:cs="Arial"/>
          <w:sz w:val="24"/>
        </w:rPr>
        <w:t>法：即评标委员会根据招标文件的要求，对通过</w:t>
      </w:r>
      <w:r>
        <w:rPr>
          <w:rFonts w:hint="eastAsia" w:ascii="宋体" w:hAnsi="宋体" w:cs="Arial"/>
          <w:sz w:val="24"/>
        </w:rPr>
        <w:t>初步</w:t>
      </w:r>
      <w:r>
        <w:rPr>
          <w:rFonts w:ascii="宋体" w:hAnsi="宋体" w:cs="Arial"/>
          <w:sz w:val="24"/>
        </w:rPr>
        <w:t>评审的投标人进行综合打分后（满分100分），选择能最大限度地满足招标文件规定的各项综合评价标准，以</w:t>
      </w:r>
      <w:r>
        <w:rPr>
          <w:rFonts w:hint="eastAsia" w:ascii="宋体" w:hAnsi="宋体" w:cs="Arial"/>
          <w:sz w:val="24"/>
        </w:rPr>
        <w:t>综合得</w:t>
      </w:r>
      <w:r>
        <w:rPr>
          <w:rFonts w:ascii="宋体" w:hAnsi="宋体" w:cs="Arial"/>
          <w:sz w:val="24"/>
        </w:rPr>
        <w:t>分由高到低的顺序，向招标人推荐</w:t>
      </w:r>
      <w:r>
        <w:rPr>
          <w:rFonts w:hint="eastAsia" w:ascii="宋体" w:hAnsi="宋体" w:cs="Arial"/>
          <w:sz w:val="24"/>
        </w:rPr>
        <w:t>1-</w:t>
      </w:r>
      <w:r>
        <w:rPr>
          <w:rFonts w:ascii="宋体" w:hAnsi="宋体" w:cs="Arial"/>
          <w:sz w:val="24"/>
        </w:rPr>
        <w:t>3名有排序的合格的中标候选人。</w:t>
      </w:r>
    </w:p>
    <w:p>
      <w:pPr>
        <w:spacing w:line="460" w:lineRule="exact"/>
        <w:rPr>
          <w:rFonts w:ascii="宋体" w:hAnsi="宋体" w:cs="Arial"/>
          <w:b/>
          <w:sz w:val="24"/>
        </w:rPr>
      </w:pPr>
      <w:r>
        <w:rPr>
          <w:rFonts w:hint="eastAsia" w:ascii="宋体" w:hAnsi="宋体" w:cs="Arial"/>
          <w:b/>
          <w:sz w:val="24"/>
        </w:rPr>
        <w:t>四、评标程序</w:t>
      </w:r>
    </w:p>
    <w:p>
      <w:pPr>
        <w:spacing w:line="460" w:lineRule="exact"/>
        <w:ind w:firstLine="480" w:firstLineChars="200"/>
        <w:rPr>
          <w:rFonts w:ascii="宋体" w:hAnsi="宋体" w:cs="Arial"/>
          <w:sz w:val="24"/>
        </w:rPr>
      </w:pPr>
      <w:r>
        <w:rPr>
          <w:rFonts w:hint="eastAsia" w:ascii="宋体" w:hAnsi="宋体" w:cs="Arial"/>
          <w:sz w:val="24"/>
        </w:rPr>
        <w:t>评标按两阶段进行：初步评审和详细评审。</w:t>
      </w:r>
    </w:p>
    <w:p>
      <w:pPr>
        <w:spacing w:line="460" w:lineRule="exact"/>
        <w:ind w:firstLine="480" w:firstLineChars="200"/>
        <w:rPr>
          <w:rFonts w:ascii="宋体" w:hAnsi="宋体" w:cs="宋体"/>
          <w:sz w:val="24"/>
        </w:rPr>
      </w:pPr>
      <w:r>
        <w:rPr>
          <w:rFonts w:ascii="宋体" w:hAnsi="宋体" w:cs="宋体"/>
          <w:sz w:val="24"/>
        </w:rPr>
        <w:t>在评标期间，评标委员会可要求投标人对其投标文件进行澄清，但澄清答复不得对投标价格和投标文件实质性内容做任何改变、不接受投标人的主动澄清</w:t>
      </w:r>
      <w:r>
        <w:rPr>
          <w:rFonts w:hint="eastAsia" w:ascii="宋体" w:hAnsi="宋体" w:cs="宋体"/>
          <w:sz w:val="24"/>
        </w:rPr>
        <w:t>，</w:t>
      </w:r>
      <w:r>
        <w:rPr>
          <w:rFonts w:ascii="宋体" w:hAnsi="宋体" w:cs="宋体"/>
          <w:sz w:val="24"/>
        </w:rPr>
        <w:t>有关澄清的答复应以书面形式提交</w:t>
      </w:r>
      <w:r>
        <w:rPr>
          <w:rFonts w:hint="eastAsia" w:ascii="宋体" w:hAnsi="宋体" w:cs="宋体"/>
          <w:sz w:val="24"/>
        </w:rPr>
        <w:t>。</w:t>
      </w:r>
      <w:r>
        <w:rPr>
          <w:rFonts w:ascii="宋体" w:hAnsi="宋体" w:cs="宋体"/>
          <w:sz w:val="24"/>
        </w:rPr>
        <w:t>投标人不得通过修正或撤消不合要求的偏离或保留从而使其投标成为实质性响应的投标</w:t>
      </w:r>
      <w:r>
        <w:rPr>
          <w:rFonts w:hint="eastAsia" w:ascii="宋体" w:hAnsi="宋体" w:cs="宋体"/>
          <w:sz w:val="24"/>
        </w:rPr>
        <w:t>。</w:t>
      </w:r>
    </w:p>
    <w:p>
      <w:pPr>
        <w:spacing w:line="460" w:lineRule="exact"/>
        <w:ind w:firstLine="482" w:firstLineChars="200"/>
        <w:rPr>
          <w:rFonts w:ascii="宋体" w:hAnsi="宋体" w:cs="Arial"/>
          <w:b/>
          <w:bCs/>
          <w:sz w:val="24"/>
        </w:rPr>
      </w:pPr>
      <w:r>
        <w:rPr>
          <w:rFonts w:hint="eastAsia" w:ascii="宋体" w:hAnsi="宋体" w:cs="Arial"/>
          <w:b/>
          <w:bCs/>
          <w:sz w:val="24"/>
        </w:rPr>
        <w:t>1、初步评审</w:t>
      </w:r>
    </w:p>
    <w:p>
      <w:pPr>
        <w:spacing w:line="460" w:lineRule="exact"/>
        <w:ind w:firstLine="480" w:firstLineChars="200"/>
        <w:rPr>
          <w:rFonts w:ascii="宋体" w:hAnsi="宋体" w:cs="Arial"/>
          <w:sz w:val="24"/>
        </w:rPr>
      </w:pPr>
      <w:r>
        <w:rPr>
          <w:rFonts w:hint="eastAsia" w:ascii="宋体" w:hAnsi="宋体" w:cs="Arial"/>
          <w:sz w:val="24"/>
        </w:rPr>
        <w:t>初步评审是指评标委员会将按照统一的标准评审每位投标人的投标文件是否对招标文件提出的所有实质性要求和条件作出响应，有无显著的差异或保留、</w:t>
      </w:r>
      <w:r>
        <w:rPr>
          <w:rFonts w:hint="eastAsia" w:ascii="宋体" w:hAnsi="宋体" w:cs="宋体"/>
          <w:sz w:val="24"/>
        </w:rPr>
        <w:t>投</w:t>
      </w:r>
      <w:r>
        <w:rPr>
          <w:rFonts w:ascii="宋体" w:hAnsi="宋体" w:cs="宋体"/>
          <w:sz w:val="24"/>
        </w:rPr>
        <w:t>标文件是否完整、格式是否正确、有无计算上的错误、是否提交了投标保证金、文件是否已正确签署、投标文件的总体编排是否有序等</w:t>
      </w:r>
      <w:r>
        <w:rPr>
          <w:rFonts w:hint="eastAsia" w:ascii="宋体" w:hAnsi="宋体" w:cs="宋体"/>
          <w:sz w:val="24"/>
        </w:rPr>
        <w:t>。</w:t>
      </w:r>
      <w:r>
        <w:rPr>
          <w:rFonts w:ascii="宋体" w:hAnsi="宋体" w:cs="宋体"/>
          <w:sz w:val="24"/>
        </w:rPr>
        <w:t>评标委员会将判定每个投标文件是否完整以及是否实质性响应了招标文件的要求</w:t>
      </w:r>
      <w:r>
        <w:rPr>
          <w:rFonts w:hint="eastAsia" w:ascii="宋体" w:hAnsi="宋体" w:cs="宋体"/>
          <w:sz w:val="24"/>
        </w:rPr>
        <w:t>，</w:t>
      </w:r>
      <w:r>
        <w:rPr>
          <w:rFonts w:ascii="宋体" w:hAnsi="宋体" w:cs="宋体"/>
          <w:sz w:val="24"/>
        </w:rPr>
        <w:t>如果投标实质性没有响应招标文</w:t>
      </w:r>
      <w:r>
        <w:rPr>
          <w:rFonts w:hint="eastAsia" w:ascii="宋体" w:hAnsi="宋体" w:cs="Arial"/>
          <w:sz w:val="24"/>
        </w:rPr>
        <w:t>件的要求，其投标将作废标处理，不进入详细评审。</w:t>
      </w:r>
    </w:p>
    <w:p>
      <w:pPr>
        <w:spacing w:line="460" w:lineRule="exact"/>
        <w:ind w:firstLine="480" w:firstLineChars="200"/>
        <w:rPr>
          <w:rFonts w:ascii="宋体" w:hAnsi="宋体" w:cs="Arial"/>
          <w:sz w:val="24"/>
        </w:rPr>
      </w:pPr>
      <w:r>
        <w:rPr>
          <w:rFonts w:hint="eastAsia" w:ascii="宋体" w:hAnsi="宋体" w:cs="Arial"/>
          <w:sz w:val="24"/>
        </w:rPr>
        <w:t>评标委员会对投标文件响应性的判定基于投标文件本身的内容，而不寻求外部的证据。评议过程将严格按照招标文件的要求和条件进行。对所有投标人的评估，都采用相同的程序和标准。</w:t>
      </w:r>
    </w:p>
    <w:p>
      <w:pPr>
        <w:spacing w:line="400" w:lineRule="exact"/>
        <w:ind w:firstLine="480" w:firstLineChars="200"/>
        <w:rPr>
          <w:rFonts w:ascii="宋体" w:hAnsi="宋体" w:cs="Arial"/>
          <w:sz w:val="24"/>
        </w:rPr>
      </w:pPr>
      <w:r>
        <w:rPr>
          <w:rFonts w:hint="eastAsia" w:ascii="宋体" w:hAnsi="宋体" w:cs="Arial"/>
          <w:sz w:val="24"/>
        </w:rPr>
        <w:t>初步评审标准</w:t>
      </w:r>
    </w:p>
    <w:tbl>
      <w:tblPr>
        <w:tblStyle w:val="39"/>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763"/>
        <w:gridCol w:w="6423"/>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06" w:type="dxa"/>
            <w:gridSpan w:val="2"/>
            <w:vAlign w:val="center"/>
          </w:tcPr>
          <w:p>
            <w:pPr>
              <w:spacing w:line="400" w:lineRule="exact"/>
              <w:jc w:val="center"/>
              <w:rPr>
                <w:rFonts w:ascii="宋体" w:hAnsi="宋体" w:cs="Arial"/>
                <w:b/>
                <w:caps/>
                <w:szCs w:val="21"/>
              </w:rPr>
            </w:pPr>
            <w:r>
              <w:rPr>
                <w:rFonts w:ascii="宋体" w:hAnsi="宋体" w:cs="Arial"/>
                <w:b/>
                <w:caps/>
                <w:szCs w:val="21"/>
              </w:rPr>
              <w:t>评</w:t>
            </w:r>
            <w:r>
              <w:rPr>
                <w:rFonts w:hint="eastAsia" w:ascii="宋体" w:hAnsi="宋体" w:cs="Arial"/>
                <w:b/>
                <w:caps/>
                <w:szCs w:val="21"/>
              </w:rPr>
              <w:t>审</w:t>
            </w:r>
            <w:r>
              <w:rPr>
                <w:rFonts w:ascii="宋体" w:hAnsi="宋体" w:cs="Arial"/>
                <w:b/>
                <w:caps/>
                <w:szCs w:val="21"/>
              </w:rPr>
              <w:t>因素</w:t>
            </w:r>
          </w:p>
        </w:tc>
        <w:tc>
          <w:tcPr>
            <w:tcW w:w="6423" w:type="dxa"/>
            <w:vAlign w:val="center"/>
          </w:tcPr>
          <w:p>
            <w:pPr>
              <w:spacing w:line="400" w:lineRule="exact"/>
              <w:jc w:val="center"/>
              <w:rPr>
                <w:rFonts w:ascii="宋体" w:hAnsi="宋体" w:cs="Arial"/>
                <w:b/>
                <w:caps/>
                <w:szCs w:val="21"/>
              </w:rPr>
            </w:pPr>
            <w:r>
              <w:rPr>
                <w:rFonts w:ascii="宋体" w:hAnsi="宋体" w:cs="Arial"/>
                <w:b/>
                <w:caps/>
                <w:szCs w:val="21"/>
              </w:rPr>
              <w:t>评审标准</w:t>
            </w:r>
          </w:p>
        </w:tc>
        <w:tc>
          <w:tcPr>
            <w:tcW w:w="737" w:type="dxa"/>
            <w:vAlign w:val="center"/>
          </w:tcPr>
          <w:p>
            <w:pPr>
              <w:spacing w:line="400" w:lineRule="exact"/>
              <w:jc w:val="center"/>
              <w:rPr>
                <w:rFonts w:ascii="宋体" w:hAnsi="宋体" w:cs="Arial"/>
                <w:b/>
                <w:caps/>
                <w:szCs w:val="21"/>
              </w:rPr>
            </w:pPr>
            <w:r>
              <w:rPr>
                <w:rFonts w:hint="eastAsia" w:ascii="宋体" w:hAnsi="宋体" w:cs="Arial"/>
                <w:b/>
                <w:caps/>
                <w:szCs w:val="21"/>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43" w:type="dxa"/>
            <w:vMerge w:val="restart"/>
            <w:vAlign w:val="center"/>
          </w:tcPr>
          <w:p>
            <w:pPr>
              <w:spacing w:line="400" w:lineRule="exact"/>
              <w:rPr>
                <w:rFonts w:ascii="宋体" w:hAnsi="宋体" w:cs="Arial"/>
                <w:caps/>
                <w:szCs w:val="21"/>
              </w:rPr>
            </w:pPr>
            <w:r>
              <w:rPr>
                <w:rFonts w:hint="eastAsia" w:ascii="宋体" w:hAnsi="宋体" w:cs="Arial"/>
                <w:caps/>
                <w:szCs w:val="21"/>
              </w:rPr>
              <w:t>形式评审</w:t>
            </w:r>
          </w:p>
        </w:tc>
        <w:tc>
          <w:tcPr>
            <w:tcW w:w="1763" w:type="dxa"/>
            <w:vAlign w:val="center"/>
          </w:tcPr>
          <w:p>
            <w:pPr>
              <w:spacing w:line="400" w:lineRule="exact"/>
            </w:pPr>
            <w:r>
              <w:rPr>
                <w:rFonts w:ascii="宋体" w:hAnsi="宋体" w:cs="Arial"/>
                <w:caps/>
                <w:szCs w:val="21"/>
              </w:rPr>
              <w:t>投标人名称</w:t>
            </w:r>
          </w:p>
        </w:tc>
        <w:tc>
          <w:tcPr>
            <w:tcW w:w="6423" w:type="dxa"/>
            <w:vAlign w:val="center"/>
          </w:tcPr>
          <w:p>
            <w:pPr>
              <w:spacing w:line="400" w:lineRule="exact"/>
              <w:rPr>
                <w:rFonts w:ascii="宋体" w:hAnsi="宋体" w:cs="Arial"/>
                <w:caps/>
                <w:szCs w:val="21"/>
              </w:rPr>
            </w:pPr>
            <w:r>
              <w:rPr>
                <w:rFonts w:hint="eastAsia" w:ascii="宋体" w:hAnsi="宋体" w:cs="Arial"/>
                <w:caps/>
                <w:szCs w:val="21"/>
              </w:rPr>
              <w:t>与投标文件中的营业执照、资质证书、相关许可证名称一致。</w:t>
            </w:r>
          </w:p>
        </w:tc>
        <w:tc>
          <w:tcPr>
            <w:tcW w:w="737" w:type="dxa"/>
            <w:vAlign w:val="center"/>
          </w:tcPr>
          <w:p>
            <w:pPr>
              <w:spacing w:line="400" w:lineRule="exact"/>
              <w:rPr>
                <w:rFonts w:ascii="宋体" w:hAnsi="宋体" w:cs="Arial"/>
                <w:cap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400" w:lineRule="exact"/>
            </w:pPr>
            <w:r>
              <w:rPr>
                <w:rFonts w:ascii="宋体" w:hAnsi="宋体" w:cs="Arial"/>
                <w:caps/>
                <w:szCs w:val="21"/>
              </w:rPr>
              <w:t>投标函</w:t>
            </w:r>
            <w:r>
              <w:rPr>
                <w:rFonts w:hint="eastAsia" w:ascii="宋体" w:hAnsi="宋体" w:cs="Arial"/>
                <w:caps/>
                <w:szCs w:val="21"/>
              </w:rPr>
              <w:t>签字盖章</w:t>
            </w:r>
          </w:p>
        </w:tc>
        <w:tc>
          <w:tcPr>
            <w:tcW w:w="6423" w:type="dxa"/>
            <w:vAlign w:val="center"/>
          </w:tcPr>
          <w:p>
            <w:pPr>
              <w:spacing w:line="400" w:lineRule="exact"/>
              <w:rPr>
                <w:rFonts w:ascii="宋体" w:hAnsi="宋体" w:cs="Arial"/>
                <w:caps/>
                <w:szCs w:val="21"/>
              </w:rPr>
            </w:pPr>
            <w:r>
              <w:rPr>
                <w:rFonts w:hint="eastAsia" w:ascii="宋体" w:hAnsi="宋体" w:cs="Arial"/>
                <w:caps/>
                <w:szCs w:val="21"/>
              </w:rPr>
              <w:t>由</w:t>
            </w:r>
            <w:r>
              <w:rPr>
                <w:rFonts w:ascii="宋体" w:hAnsi="宋体" w:cs="Arial"/>
                <w:caps/>
                <w:szCs w:val="21"/>
              </w:rPr>
              <w:t>法定代表人或其委托代理</w:t>
            </w:r>
            <w:r>
              <w:rPr>
                <w:rFonts w:hint="eastAsia" w:ascii="宋体" w:hAnsi="宋体" w:cs="Arial"/>
                <w:caps/>
                <w:szCs w:val="21"/>
              </w:rPr>
              <w:t>人签字</w:t>
            </w:r>
            <w:r>
              <w:rPr>
                <w:rFonts w:ascii="宋体" w:hAnsi="宋体" w:cs="Arial"/>
                <w:b/>
                <w:caps/>
                <w:szCs w:val="21"/>
              </w:rPr>
              <w:t>并</w:t>
            </w:r>
            <w:r>
              <w:rPr>
                <w:rFonts w:ascii="宋体" w:hAnsi="宋体" w:cs="Arial"/>
                <w:caps/>
                <w:szCs w:val="21"/>
              </w:rPr>
              <w:t>加盖单位公章</w:t>
            </w:r>
            <w:r>
              <w:rPr>
                <w:rFonts w:hint="eastAsia" w:ascii="宋体" w:hAnsi="宋体" w:cs="Arial"/>
                <w:caps/>
                <w:szCs w:val="21"/>
              </w:rPr>
              <w:t>；由</w:t>
            </w:r>
            <w:r>
              <w:rPr>
                <w:rFonts w:ascii="宋体" w:hAnsi="宋体" w:cs="Arial"/>
                <w:caps/>
                <w:szCs w:val="21"/>
              </w:rPr>
              <w:t>委托代理人</w:t>
            </w:r>
            <w:r>
              <w:rPr>
                <w:rFonts w:hint="eastAsia" w:ascii="宋体" w:hAnsi="宋体" w:cs="Arial"/>
                <w:caps/>
                <w:szCs w:val="21"/>
              </w:rPr>
              <w:t>签署</w:t>
            </w:r>
            <w:r>
              <w:rPr>
                <w:rFonts w:ascii="宋体" w:hAnsi="宋体" w:cs="Arial"/>
                <w:caps/>
                <w:szCs w:val="21"/>
              </w:rPr>
              <w:t>的，</w:t>
            </w:r>
            <w:r>
              <w:rPr>
                <w:rFonts w:hint="eastAsia" w:ascii="宋体" w:hAnsi="宋体" w:cs="Arial"/>
                <w:caps/>
                <w:szCs w:val="21"/>
              </w:rPr>
              <w:t>应同时提供</w:t>
            </w:r>
            <w:r>
              <w:rPr>
                <w:rFonts w:ascii="宋体" w:hAnsi="宋体" w:cs="Arial"/>
                <w:caps/>
                <w:szCs w:val="21"/>
              </w:rPr>
              <w:t>法定代表人签署</w:t>
            </w:r>
            <w:r>
              <w:rPr>
                <w:rFonts w:hint="eastAsia" w:ascii="宋体" w:hAnsi="宋体" w:cs="Arial"/>
                <w:caps/>
                <w:szCs w:val="21"/>
              </w:rPr>
              <w:t>的</w:t>
            </w:r>
            <w:r>
              <w:rPr>
                <w:rFonts w:ascii="宋体" w:hAnsi="宋体" w:cs="Arial"/>
                <w:caps/>
                <w:szCs w:val="21"/>
              </w:rPr>
              <w:t>授权委托书</w:t>
            </w:r>
            <w:r>
              <w:rPr>
                <w:rFonts w:hint="eastAsia" w:ascii="宋体" w:hAnsi="宋体" w:cs="Arial"/>
                <w:caps/>
                <w:szCs w:val="21"/>
              </w:rPr>
              <w:t>（原件）</w:t>
            </w:r>
          </w:p>
          <w:p>
            <w:pPr>
              <w:spacing w:line="400" w:lineRule="exact"/>
              <w:rPr>
                <w:rFonts w:ascii="宋体" w:hAnsi="宋体" w:cs="Arial"/>
                <w:caps/>
                <w:szCs w:val="21"/>
              </w:rPr>
            </w:pPr>
            <w:r>
              <w:rPr>
                <w:rFonts w:hint="eastAsia" w:ascii="宋体" w:hAnsi="宋体" w:cs="宋体"/>
                <w:bCs/>
                <w:szCs w:val="21"/>
              </w:rPr>
              <w:t>附法定代表人身份证复印件及委托代理人身份证复印件并加盖单位公章，授权委托书的内容和形式符合招标文件规定。</w:t>
            </w:r>
          </w:p>
        </w:tc>
        <w:tc>
          <w:tcPr>
            <w:tcW w:w="737" w:type="dxa"/>
            <w:vAlign w:val="center"/>
          </w:tcPr>
          <w:p>
            <w:pPr>
              <w:spacing w:line="40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400" w:lineRule="exact"/>
            </w:pPr>
            <w:r>
              <w:rPr>
                <w:rFonts w:ascii="宋体" w:hAnsi="宋体" w:cs="Arial"/>
                <w:caps/>
                <w:szCs w:val="21"/>
              </w:rPr>
              <w:t>投标文件格式</w:t>
            </w:r>
          </w:p>
        </w:tc>
        <w:tc>
          <w:tcPr>
            <w:tcW w:w="6423" w:type="dxa"/>
            <w:vAlign w:val="center"/>
          </w:tcPr>
          <w:p>
            <w:pPr>
              <w:spacing w:line="400" w:lineRule="exact"/>
              <w:rPr>
                <w:rFonts w:ascii="宋体" w:hAnsi="宋体" w:cs="Arial"/>
                <w:caps/>
                <w:szCs w:val="21"/>
              </w:rPr>
            </w:pPr>
            <w:r>
              <w:rPr>
                <w:rFonts w:hint="eastAsia" w:ascii="宋体" w:hAnsi="宋体" w:cs="宋体"/>
                <w:bCs/>
                <w:szCs w:val="21"/>
              </w:rPr>
              <w:t>投标文件格式、内容组成(如投标函、授权委托书等)等按照招标文件规定的格式和内容填写，字迹清晰可辨。</w:t>
            </w:r>
          </w:p>
        </w:tc>
        <w:tc>
          <w:tcPr>
            <w:tcW w:w="737" w:type="dxa"/>
            <w:vAlign w:val="center"/>
          </w:tcPr>
          <w:p>
            <w:pPr>
              <w:spacing w:line="40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380" w:lineRule="exact"/>
              <w:rPr>
                <w:rFonts w:ascii="宋体" w:hAnsi="宋体" w:cs="Arial"/>
                <w:caps/>
                <w:szCs w:val="21"/>
              </w:rPr>
            </w:pPr>
            <w:r>
              <w:rPr>
                <w:rFonts w:hint="eastAsia" w:ascii="宋体" w:hAnsi="宋体" w:cs="Arial"/>
                <w:caps/>
                <w:szCs w:val="21"/>
              </w:rPr>
              <w:t>投标文件的编排</w:t>
            </w:r>
          </w:p>
        </w:tc>
        <w:tc>
          <w:tcPr>
            <w:tcW w:w="6423" w:type="dxa"/>
            <w:vAlign w:val="center"/>
          </w:tcPr>
          <w:p>
            <w:pPr>
              <w:spacing w:line="380" w:lineRule="exact"/>
              <w:rPr>
                <w:rFonts w:ascii="宋体" w:hAnsi="宋体" w:cs="宋体"/>
                <w:bCs/>
                <w:szCs w:val="21"/>
              </w:rPr>
            </w:pPr>
            <w:r>
              <w:rPr>
                <w:rFonts w:ascii="宋体" w:hAnsi="宋体" w:cs="Arial"/>
                <w:caps/>
                <w:szCs w:val="21"/>
              </w:rPr>
              <w:t>符合招标文件的要求</w:t>
            </w:r>
            <w:r>
              <w:rPr>
                <w:rFonts w:hint="eastAsia" w:ascii="宋体" w:hAnsi="宋体" w:cs="Arial"/>
                <w:caps/>
                <w:szCs w:val="21"/>
              </w:rPr>
              <w:t>，编排有序。</w:t>
            </w:r>
          </w:p>
        </w:tc>
        <w:tc>
          <w:tcPr>
            <w:tcW w:w="737" w:type="dxa"/>
            <w:vAlign w:val="center"/>
          </w:tcPr>
          <w:p>
            <w:pPr>
              <w:spacing w:line="380" w:lineRule="exact"/>
              <w:rPr>
                <w:rFonts w:ascii="宋体" w:hAnsi="宋体" w:cs="Arial"/>
                <w:cap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380" w:lineRule="exact"/>
              <w:rPr>
                <w:rFonts w:ascii="宋体" w:hAnsi="宋体" w:cs="Arial"/>
                <w:caps/>
                <w:szCs w:val="21"/>
              </w:rPr>
            </w:pPr>
            <w:r>
              <w:rPr>
                <w:rFonts w:hint="eastAsia" w:ascii="宋体" w:hAnsi="宋体" w:cs="Arial"/>
                <w:caps/>
                <w:szCs w:val="21"/>
              </w:rPr>
              <w:t>投标报价</w:t>
            </w:r>
          </w:p>
        </w:tc>
        <w:tc>
          <w:tcPr>
            <w:tcW w:w="6423" w:type="dxa"/>
            <w:vAlign w:val="center"/>
          </w:tcPr>
          <w:p>
            <w:pPr>
              <w:spacing w:line="380" w:lineRule="exact"/>
              <w:rPr>
                <w:rFonts w:ascii="宋体" w:hAnsi="宋体" w:cs="Arial"/>
                <w:caps/>
                <w:szCs w:val="21"/>
              </w:rPr>
            </w:pPr>
            <w:r>
              <w:rPr>
                <w:rFonts w:hint="eastAsia" w:ascii="宋体" w:hAnsi="宋体" w:cs="宋体"/>
                <w:szCs w:val="21"/>
              </w:rPr>
              <w:t>只能有一个有效报价，投标报价不得高于招标控制价，否则作废标处理。</w:t>
            </w:r>
          </w:p>
        </w:tc>
        <w:tc>
          <w:tcPr>
            <w:tcW w:w="737" w:type="dxa"/>
            <w:vAlign w:val="center"/>
          </w:tcPr>
          <w:p>
            <w:pPr>
              <w:spacing w:line="380" w:lineRule="exact"/>
              <w:rPr>
                <w:rFonts w:ascii="宋体" w:hAnsi="宋体" w:cs="Arial"/>
                <w:cap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3" w:type="dxa"/>
            <w:vMerge w:val="restart"/>
            <w:vAlign w:val="center"/>
          </w:tcPr>
          <w:p>
            <w:pPr>
              <w:spacing w:line="400" w:lineRule="exact"/>
              <w:rPr>
                <w:rFonts w:ascii="宋体" w:hAnsi="宋体" w:cs="Arial"/>
                <w:caps/>
                <w:szCs w:val="21"/>
              </w:rPr>
            </w:pPr>
            <w:r>
              <w:rPr>
                <w:rFonts w:hint="eastAsia" w:ascii="宋体" w:hAnsi="宋体" w:cs="宋体"/>
                <w:szCs w:val="21"/>
              </w:rPr>
              <w:t>资格评审</w:t>
            </w:r>
          </w:p>
        </w:tc>
        <w:tc>
          <w:tcPr>
            <w:tcW w:w="1763" w:type="dxa"/>
            <w:vAlign w:val="center"/>
          </w:tcPr>
          <w:p>
            <w:pPr>
              <w:spacing w:line="400" w:lineRule="exact"/>
            </w:pPr>
            <w:r>
              <w:rPr>
                <w:rFonts w:hint="eastAsia" w:ascii="宋体" w:hAnsi="宋体" w:cs="Arial"/>
                <w:caps/>
                <w:szCs w:val="21"/>
              </w:rPr>
              <w:t>资格后审内容</w:t>
            </w:r>
          </w:p>
        </w:tc>
        <w:tc>
          <w:tcPr>
            <w:tcW w:w="6423" w:type="dxa"/>
            <w:vAlign w:val="center"/>
          </w:tcPr>
          <w:p>
            <w:pPr>
              <w:spacing w:line="360" w:lineRule="auto"/>
              <w:rPr>
                <w:rFonts w:cs="宋体"/>
                <w:szCs w:val="21"/>
              </w:rPr>
            </w:pPr>
            <w:r>
              <w:rPr>
                <w:rFonts w:cs="宋体"/>
                <w:szCs w:val="21"/>
              </w:rPr>
              <w:t>1.符合《中华人民共和国政府采购法》第二十二条资格条件（需提供承诺函）：</w:t>
            </w:r>
          </w:p>
          <w:p>
            <w:pPr>
              <w:spacing w:line="360" w:lineRule="auto"/>
              <w:rPr>
                <w:rFonts w:cs="宋体"/>
                <w:szCs w:val="21"/>
              </w:rPr>
            </w:pPr>
            <w:r>
              <w:rPr>
                <w:rFonts w:cs="宋体"/>
                <w:szCs w:val="21"/>
              </w:rPr>
              <w:t>（1）具有独立承担民事责任的能力；</w:t>
            </w:r>
          </w:p>
          <w:p>
            <w:pPr>
              <w:spacing w:line="360" w:lineRule="auto"/>
              <w:rPr>
                <w:rFonts w:cs="宋体"/>
                <w:szCs w:val="21"/>
              </w:rPr>
            </w:pPr>
            <w:r>
              <w:rPr>
                <w:rFonts w:cs="宋体"/>
                <w:szCs w:val="21"/>
              </w:rPr>
              <w:t>（2）具有良好的商业信誉和健全的财务会计制度；</w:t>
            </w:r>
          </w:p>
          <w:p>
            <w:pPr>
              <w:spacing w:line="360" w:lineRule="auto"/>
              <w:rPr>
                <w:rFonts w:cs="宋体"/>
                <w:szCs w:val="21"/>
              </w:rPr>
            </w:pPr>
            <w:r>
              <w:rPr>
                <w:rFonts w:cs="宋体"/>
                <w:szCs w:val="21"/>
              </w:rPr>
              <w:t>（3）具有履行合同所必需的设备和专业技术能力；</w:t>
            </w:r>
          </w:p>
          <w:p>
            <w:pPr>
              <w:spacing w:line="360" w:lineRule="auto"/>
              <w:rPr>
                <w:rFonts w:cs="宋体"/>
                <w:szCs w:val="21"/>
              </w:rPr>
            </w:pPr>
            <w:r>
              <w:rPr>
                <w:rFonts w:cs="宋体"/>
                <w:szCs w:val="21"/>
              </w:rPr>
              <w:t>（4）有依法缴纳税收和社会保障资金的良好记录）；</w:t>
            </w:r>
          </w:p>
          <w:p>
            <w:pPr>
              <w:spacing w:line="360" w:lineRule="auto"/>
              <w:rPr>
                <w:rFonts w:cs="宋体"/>
                <w:szCs w:val="21"/>
              </w:rPr>
            </w:pPr>
            <w:r>
              <w:rPr>
                <w:rFonts w:cs="宋体"/>
                <w:szCs w:val="21"/>
              </w:rPr>
              <w:t>（5）参加政府采购活动前三年内，在经营活动中没有重大违法记录；</w:t>
            </w:r>
          </w:p>
          <w:p>
            <w:pPr>
              <w:spacing w:line="360" w:lineRule="auto"/>
              <w:rPr>
                <w:rFonts w:cs="宋体"/>
                <w:szCs w:val="21"/>
              </w:rPr>
            </w:pPr>
            <w:r>
              <w:rPr>
                <w:rFonts w:cs="宋体"/>
                <w:szCs w:val="21"/>
              </w:rPr>
              <w:t>（6）法律、行政法规规定的其他条件；</w:t>
            </w:r>
          </w:p>
          <w:p>
            <w:pPr>
              <w:spacing w:line="360" w:lineRule="auto"/>
              <w:jc w:val="left"/>
              <w:rPr>
                <w:rFonts w:cs="宋体"/>
                <w:szCs w:val="21"/>
              </w:rPr>
            </w:pPr>
            <w:r>
              <w:rPr>
                <w:rFonts w:cs="宋体"/>
                <w:szCs w:val="21"/>
              </w:rPr>
              <w:t>2.投标人不得有被列入失信被执行人、重大税收违法案件当事人名单、政府采购严重违法失信行为记录，提供信用中国网站（www.creditchina.gov.cn）、中国政府采购网 （www .ccgp.gov.cn）的信用信息查询记录截图；</w:t>
            </w:r>
          </w:p>
          <w:p>
            <w:pPr>
              <w:spacing w:line="360" w:lineRule="auto"/>
              <w:rPr>
                <w:rFonts w:ascii="宋体" w:hAnsi="宋体" w:cs="宋体"/>
                <w:szCs w:val="21"/>
              </w:rPr>
            </w:pPr>
            <w:r>
              <w:rPr>
                <w:rFonts w:hint="eastAsia" w:ascii="宋体" w:hAnsi="宋体" w:cs="宋体"/>
                <w:szCs w:val="21"/>
              </w:rPr>
              <w:t>3.本项目不接受联合体投标；</w:t>
            </w:r>
          </w:p>
          <w:p>
            <w:pPr>
              <w:spacing w:line="360" w:lineRule="auto"/>
              <w:rPr>
                <w:rFonts w:ascii="宋体" w:hAnsi="宋体" w:cs="宋体"/>
                <w:kern w:val="0"/>
                <w:sz w:val="24"/>
              </w:rPr>
            </w:pPr>
            <w:r>
              <w:rPr>
                <w:rFonts w:hint="eastAsia" w:ascii="宋体" w:hAnsi="宋体" w:cs="宋体"/>
                <w:szCs w:val="21"/>
              </w:rPr>
              <w:t>4.</w:t>
            </w:r>
            <w:r>
              <w:rPr>
                <w:rFonts w:ascii="宋体" w:hAnsi="宋体" w:cs="宋体"/>
                <w:szCs w:val="21"/>
              </w:rPr>
              <w:t>单位负责人为同一人或者存在直接控股、管理关系的不同</w:t>
            </w:r>
            <w:r>
              <w:rPr>
                <w:rFonts w:hint="eastAsia" w:ascii="宋体" w:hAnsi="宋体" w:cs="宋体"/>
                <w:szCs w:val="21"/>
              </w:rPr>
              <w:t>投标人</w:t>
            </w:r>
            <w:r>
              <w:rPr>
                <w:rFonts w:ascii="宋体" w:hAnsi="宋体" w:cs="宋体"/>
                <w:szCs w:val="21"/>
              </w:rPr>
              <w:t>，不得参加同一合同项下的采购活动</w:t>
            </w:r>
            <w:r>
              <w:rPr>
                <w:rFonts w:hint="eastAsia" w:ascii="宋体" w:hAnsi="宋体" w:cs="宋体"/>
                <w:szCs w:val="21"/>
              </w:rPr>
              <w:t>。</w:t>
            </w:r>
          </w:p>
        </w:tc>
        <w:tc>
          <w:tcPr>
            <w:tcW w:w="7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3" w:type="dxa"/>
            <w:vMerge w:val="restart"/>
            <w:vAlign w:val="center"/>
          </w:tcPr>
          <w:p>
            <w:pPr>
              <w:spacing w:line="400" w:lineRule="exact"/>
              <w:rPr>
                <w:rFonts w:ascii="宋体" w:hAnsi="宋体" w:cs="Arial"/>
                <w:caps/>
                <w:szCs w:val="21"/>
              </w:rPr>
            </w:pPr>
            <w:r>
              <w:rPr>
                <w:rFonts w:hint="eastAsia" w:ascii="宋体" w:hAnsi="宋体" w:cs="Arial"/>
                <w:caps/>
                <w:szCs w:val="21"/>
              </w:rPr>
              <w:t>响应性评审</w:t>
            </w:r>
          </w:p>
        </w:tc>
        <w:tc>
          <w:tcPr>
            <w:tcW w:w="1763" w:type="dxa"/>
            <w:vAlign w:val="center"/>
          </w:tcPr>
          <w:p>
            <w:pPr>
              <w:spacing w:line="400" w:lineRule="exact"/>
            </w:pPr>
            <w:r>
              <w:rPr>
                <w:rFonts w:hint="eastAsia" w:ascii="宋体" w:hAnsi="宋体" w:cs="Arial"/>
                <w:caps/>
                <w:szCs w:val="21"/>
              </w:rPr>
              <w:t>投标内容范围</w:t>
            </w:r>
          </w:p>
        </w:tc>
        <w:tc>
          <w:tcPr>
            <w:tcW w:w="6423" w:type="dxa"/>
            <w:vAlign w:val="center"/>
          </w:tcPr>
          <w:p>
            <w:pPr>
              <w:spacing w:line="400" w:lineRule="exact"/>
              <w:rPr>
                <w:rFonts w:ascii="宋体" w:hAnsi="宋体"/>
                <w:szCs w:val="21"/>
              </w:rPr>
            </w:pPr>
            <w:r>
              <w:rPr>
                <w:rFonts w:hint="eastAsia" w:ascii="宋体" w:hAnsi="宋体"/>
                <w:szCs w:val="21"/>
              </w:rPr>
              <w:t>完全符合招标范围和内容，有无实质性偏差。</w:t>
            </w:r>
          </w:p>
        </w:tc>
        <w:tc>
          <w:tcPr>
            <w:tcW w:w="737" w:type="dxa"/>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400" w:lineRule="exact"/>
            </w:pPr>
            <w:r>
              <w:rPr>
                <w:rFonts w:hint="eastAsia"/>
              </w:rPr>
              <w:t>供货及安装期限</w:t>
            </w:r>
          </w:p>
        </w:tc>
        <w:tc>
          <w:tcPr>
            <w:tcW w:w="6423" w:type="dxa"/>
            <w:vAlign w:val="center"/>
          </w:tcPr>
          <w:p>
            <w:pPr>
              <w:spacing w:line="400" w:lineRule="exact"/>
              <w:rPr>
                <w:rFonts w:ascii="宋体" w:hAnsi="宋体" w:cs="Arial"/>
                <w:caps/>
                <w:szCs w:val="21"/>
              </w:rPr>
            </w:pPr>
            <w:r>
              <w:rPr>
                <w:rFonts w:hint="eastAsia" w:ascii="宋体" w:hAnsi="宋体"/>
                <w:szCs w:val="21"/>
              </w:rPr>
              <w:t>符合招标文件规定的时间。</w:t>
            </w:r>
          </w:p>
        </w:tc>
        <w:tc>
          <w:tcPr>
            <w:tcW w:w="737" w:type="dxa"/>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400" w:lineRule="exact"/>
            </w:pPr>
            <w:r>
              <w:rPr>
                <w:rFonts w:hint="eastAsia" w:ascii="宋体" w:hAnsi="宋体" w:cs="Calibri"/>
                <w:szCs w:val="21"/>
              </w:rPr>
              <w:t>质量保证期</w:t>
            </w:r>
          </w:p>
        </w:tc>
        <w:tc>
          <w:tcPr>
            <w:tcW w:w="6423" w:type="dxa"/>
            <w:vAlign w:val="center"/>
          </w:tcPr>
          <w:p>
            <w:pPr>
              <w:spacing w:line="400" w:lineRule="exact"/>
              <w:rPr>
                <w:rFonts w:ascii="宋体" w:hAnsi="宋体" w:cs="Arial"/>
                <w:caps/>
                <w:szCs w:val="21"/>
              </w:rPr>
            </w:pPr>
            <w:r>
              <w:rPr>
                <w:rFonts w:hint="eastAsia" w:ascii="宋体" w:hAnsi="宋体"/>
                <w:szCs w:val="21"/>
              </w:rPr>
              <w:t>符合招标文件规定</w:t>
            </w:r>
          </w:p>
        </w:tc>
        <w:tc>
          <w:tcPr>
            <w:tcW w:w="737" w:type="dxa"/>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400" w:lineRule="exact"/>
              <w:rPr>
                <w:rFonts w:ascii="宋体" w:hAnsi="宋体"/>
                <w:szCs w:val="21"/>
              </w:rPr>
            </w:pPr>
            <w:r>
              <w:rPr>
                <w:rFonts w:ascii="宋体" w:hAnsi="宋体" w:cs="Arial"/>
                <w:caps/>
                <w:szCs w:val="21"/>
              </w:rPr>
              <w:t>投标有效期</w:t>
            </w:r>
          </w:p>
        </w:tc>
        <w:tc>
          <w:tcPr>
            <w:tcW w:w="6423" w:type="dxa"/>
            <w:vAlign w:val="center"/>
          </w:tcPr>
          <w:p>
            <w:pPr>
              <w:spacing w:line="400" w:lineRule="exact"/>
              <w:rPr>
                <w:rFonts w:ascii="宋体" w:hAnsi="宋体"/>
                <w:szCs w:val="21"/>
              </w:rPr>
            </w:pPr>
            <w:r>
              <w:rPr>
                <w:rFonts w:hint="eastAsia" w:ascii="宋体" w:hAnsi="宋体"/>
                <w:szCs w:val="21"/>
              </w:rPr>
              <w:t>符合招标文件规定</w:t>
            </w:r>
          </w:p>
        </w:tc>
        <w:tc>
          <w:tcPr>
            <w:tcW w:w="737" w:type="dxa"/>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400" w:lineRule="exact"/>
              <w:rPr>
                <w:rFonts w:ascii="宋体" w:hAnsi="宋体"/>
                <w:szCs w:val="21"/>
              </w:rPr>
            </w:pPr>
            <w:r>
              <w:rPr>
                <w:rFonts w:hint="eastAsia" w:ascii="宋体" w:hAnsi="宋体" w:cs="Arial"/>
                <w:caps/>
                <w:szCs w:val="21"/>
              </w:rPr>
              <w:t>投标保证金</w:t>
            </w:r>
          </w:p>
        </w:tc>
        <w:tc>
          <w:tcPr>
            <w:tcW w:w="6423" w:type="dxa"/>
            <w:vAlign w:val="center"/>
          </w:tcPr>
          <w:p>
            <w:pPr>
              <w:spacing w:line="400" w:lineRule="exact"/>
              <w:rPr>
                <w:rFonts w:ascii="宋体" w:hAnsi="宋体"/>
                <w:szCs w:val="21"/>
              </w:rPr>
            </w:pPr>
            <w:r>
              <w:rPr>
                <w:rFonts w:ascii="宋体" w:hAnsi="宋体" w:cs="Arial"/>
                <w:caps/>
                <w:szCs w:val="21"/>
              </w:rPr>
              <w:t>符合招标文件</w:t>
            </w:r>
            <w:r>
              <w:rPr>
                <w:rFonts w:hint="eastAsia" w:ascii="宋体" w:hAnsi="宋体" w:cs="Arial"/>
                <w:caps/>
                <w:szCs w:val="21"/>
              </w:rPr>
              <w:t>的要求</w:t>
            </w:r>
          </w:p>
        </w:tc>
        <w:tc>
          <w:tcPr>
            <w:tcW w:w="737" w:type="dxa"/>
            <w:vAlign w:val="center"/>
          </w:tcPr>
          <w:p>
            <w:pPr>
              <w:spacing w:line="400" w:lineRule="exact"/>
              <w:rPr>
                <w:rFonts w:ascii="宋体" w:hAnsi="宋体" w:cs="Arial"/>
                <w:cap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43" w:type="dxa"/>
            <w:vMerge w:val="continue"/>
            <w:vAlign w:val="center"/>
          </w:tcPr>
          <w:p>
            <w:pPr>
              <w:spacing w:line="400" w:lineRule="exact"/>
              <w:rPr>
                <w:rFonts w:ascii="宋体" w:hAnsi="宋体" w:cs="Arial"/>
                <w:caps/>
                <w:szCs w:val="21"/>
              </w:rPr>
            </w:pPr>
          </w:p>
        </w:tc>
        <w:tc>
          <w:tcPr>
            <w:tcW w:w="1763" w:type="dxa"/>
            <w:vAlign w:val="center"/>
          </w:tcPr>
          <w:p>
            <w:pPr>
              <w:spacing w:line="400" w:lineRule="exact"/>
              <w:rPr>
                <w:rFonts w:ascii="宋体" w:hAnsi="宋体"/>
                <w:color w:val="000000"/>
                <w:szCs w:val="21"/>
              </w:rPr>
            </w:pPr>
            <w:r>
              <w:rPr>
                <w:rFonts w:hint="eastAsia" w:ascii="宋体" w:hAnsi="宋体" w:cs="Arial"/>
                <w:caps/>
                <w:szCs w:val="21"/>
              </w:rPr>
              <w:t>其它</w:t>
            </w:r>
          </w:p>
        </w:tc>
        <w:tc>
          <w:tcPr>
            <w:tcW w:w="6423" w:type="dxa"/>
            <w:vAlign w:val="center"/>
          </w:tcPr>
          <w:p>
            <w:pPr>
              <w:spacing w:line="400" w:lineRule="exact"/>
              <w:rPr>
                <w:rFonts w:ascii="宋体" w:hAnsi="宋体"/>
                <w:color w:val="000000"/>
                <w:szCs w:val="21"/>
              </w:rPr>
            </w:pPr>
            <w:r>
              <w:rPr>
                <w:rFonts w:hint="eastAsia" w:ascii="宋体" w:hAnsi="宋体" w:cs="Arial"/>
                <w:caps/>
                <w:szCs w:val="21"/>
              </w:rPr>
              <w:t>不存在现行法律、法规及招标文件规定其投标应被否决的其他情形。</w:t>
            </w:r>
          </w:p>
        </w:tc>
        <w:tc>
          <w:tcPr>
            <w:tcW w:w="737" w:type="dxa"/>
            <w:vAlign w:val="center"/>
          </w:tcPr>
          <w:p>
            <w:pPr>
              <w:spacing w:line="400" w:lineRule="exact"/>
              <w:rPr>
                <w:rFonts w:ascii="宋体" w:hAnsi="宋体" w:cs="Arial"/>
                <w:caps/>
                <w:szCs w:val="21"/>
              </w:rPr>
            </w:pPr>
          </w:p>
        </w:tc>
      </w:tr>
    </w:tbl>
    <w:p>
      <w:pPr>
        <w:spacing w:line="360" w:lineRule="auto"/>
        <w:ind w:firstLine="480" w:firstLineChars="200"/>
        <w:rPr>
          <w:rFonts w:ascii="宋体" w:hAnsi="宋体"/>
          <w:b/>
          <w:sz w:val="24"/>
        </w:rPr>
      </w:pPr>
      <w:r>
        <w:rPr>
          <w:rFonts w:hint="eastAsia" w:ascii="宋体" w:hAnsi="宋体"/>
          <w:sz w:val="24"/>
        </w:rPr>
        <w:t>有一项不满足上述初步评审标准的，其投标作废标处理。</w:t>
      </w:r>
    </w:p>
    <w:p>
      <w:pPr>
        <w:spacing w:before="120" w:beforeLines="50" w:line="360" w:lineRule="auto"/>
        <w:ind w:firstLine="482" w:firstLineChars="200"/>
        <w:rPr>
          <w:rFonts w:ascii="宋体" w:hAnsi="宋体"/>
          <w:b/>
          <w:sz w:val="24"/>
        </w:rPr>
      </w:pPr>
      <w:r>
        <w:rPr>
          <w:rFonts w:hint="eastAsia" w:ascii="宋体" w:hAnsi="宋体"/>
          <w:b/>
          <w:sz w:val="24"/>
        </w:rPr>
        <w:t>废标条款</w:t>
      </w:r>
    </w:p>
    <w:p>
      <w:pPr>
        <w:spacing w:line="360" w:lineRule="auto"/>
        <w:ind w:firstLine="470" w:firstLineChars="196"/>
        <w:rPr>
          <w:rFonts w:ascii="宋体" w:hAnsi="宋体"/>
          <w:sz w:val="24"/>
        </w:rPr>
      </w:pPr>
      <w:r>
        <w:rPr>
          <w:rFonts w:hint="eastAsia" w:ascii="宋体" w:hAnsi="宋体"/>
          <w:sz w:val="24"/>
        </w:rPr>
        <w:t>投标人有以下情形之一的，初步评审后其投标作废标处理：</w:t>
      </w:r>
    </w:p>
    <w:p>
      <w:pPr>
        <w:spacing w:line="360" w:lineRule="auto"/>
        <w:ind w:firstLine="480" w:firstLineChars="200"/>
        <w:rPr>
          <w:rFonts w:ascii="宋体" w:hAnsi="宋体"/>
          <w:sz w:val="24"/>
        </w:rPr>
      </w:pPr>
      <w:r>
        <w:rPr>
          <w:rFonts w:hint="eastAsia" w:ascii="宋体" w:hAnsi="宋体"/>
          <w:sz w:val="24"/>
        </w:rPr>
        <w:t>(1) 第一章“投标人须知”第1.4.3 条规定的任何一种情形的。</w:t>
      </w:r>
    </w:p>
    <w:p>
      <w:pPr>
        <w:spacing w:line="360" w:lineRule="auto"/>
        <w:ind w:firstLine="480" w:firstLineChars="200"/>
        <w:rPr>
          <w:rFonts w:ascii="宋体" w:hAnsi="宋体"/>
          <w:sz w:val="24"/>
        </w:rPr>
      </w:pPr>
      <w:r>
        <w:rPr>
          <w:rFonts w:hint="eastAsia" w:ascii="宋体" w:hAnsi="宋体"/>
          <w:sz w:val="24"/>
        </w:rPr>
        <w:t>(2) 串通投标或弄虚作假或有其他违法行为的。</w:t>
      </w:r>
    </w:p>
    <w:p>
      <w:pPr>
        <w:spacing w:line="360" w:lineRule="auto"/>
        <w:ind w:firstLine="480" w:firstLineChars="200"/>
        <w:rPr>
          <w:rFonts w:ascii="宋体" w:hAnsi="宋体"/>
          <w:sz w:val="24"/>
        </w:rPr>
      </w:pPr>
      <w:r>
        <w:rPr>
          <w:rFonts w:hint="eastAsia" w:ascii="宋体" w:hAnsi="宋体"/>
          <w:sz w:val="24"/>
        </w:rPr>
        <w:t>串通投标行为是指：</w:t>
      </w:r>
    </w:p>
    <w:p>
      <w:pPr>
        <w:spacing w:line="360" w:lineRule="auto"/>
        <w:ind w:firstLine="840" w:firstLineChars="350"/>
        <w:rPr>
          <w:rFonts w:ascii="宋体" w:hAnsi="宋体"/>
          <w:sz w:val="24"/>
        </w:rPr>
      </w:pPr>
      <w:r>
        <w:rPr>
          <w:rFonts w:hint="eastAsia" w:ascii="宋体" w:hAnsi="宋体"/>
          <w:sz w:val="24"/>
        </w:rPr>
        <w:t>①不同投标人的投标文件内容存在非正常一致的；</w:t>
      </w:r>
    </w:p>
    <w:p>
      <w:pPr>
        <w:spacing w:line="360" w:lineRule="auto"/>
        <w:ind w:firstLine="840" w:firstLineChars="350"/>
        <w:rPr>
          <w:rFonts w:ascii="宋体" w:hAnsi="宋体"/>
          <w:color w:val="auto"/>
          <w:sz w:val="24"/>
        </w:rPr>
      </w:pPr>
      <w:r>
        <w:rPr>
          <w:rFonts w:hint="eastAsia" w:ascii="宋体" w:hAnsi="宋体"/>
          <w:sz w:val="24"/>
        </w:rPr>
        <w:t>②不同投标人的投标报</w:t>
      </w:r>
      <w:r>
        <w:rPr>
          <w:rFonts w:hint="eastAsia" w:ascii="宋体" w:hAnsi="宋体"/>
          <w:color w:val="auto"/>
          <w:sz w:val="24"/>
        </w:rPr>
        <w:t>价或报价组成异常一致或呈规律性变化的；</w:t>
      </w:r>
    </w:p>
    <w:p>
      <w:pPr>
        <w:spacing w:line="360" w:lineRule="auto"/>
        <w:ind w:firstLine="840" w:firstLineChars="350"/>
        <w:rPr>
          <w:rFonts w:ascii="宋体" w:hAnsi="宋体"/>
          <w:color w:val="auto"/>
          <w:sz w:val="24"/>
        </w:rPr>
      </w:pPr>
      <w:r>
        <w:rPr>
          <w:rFonts w:hint="eastAsia" w:ascii="宋体" w:hAnsi="宋体"/>
          <w:color w:val="auto"/>
          <w:sz w:val="24"/>
        </w:rPr>
        <w:t>③不同投标人委托同一人投标或与同一人联合投标的；</w:t>
      </w:r>
    </w:p>
    <w:p>
      <w:pPr>
        <w:spacing w:line="360" w:lineRule="auto"/>
        <w:ind w:firstLine="840" w:firstLineChars="350"/>
        <w:rPr>
          <w:rFonts w:ascii="宋体" w:hAnsi="宋体"/>
          <w:color w:val="auto"/>
          <w:sz w:val="24"/>
        </w:rPr>
      </w:pPr>
      <w:r>
        <w:rPr>
          <w:rFonts w:hint="eastAsia" w:ascii="宋体" w:hAnsi="宋体"/>
          <w:color w:val="auto"/>
          <w:sz w:val="24"/>
        </w:rPr>
        <w:t>④不同投标人的投标文件相互混装的；</w:t>
      </w:r>
    </w:p>
    <w:p>
      <w:pPr>
        <w:spacing w:line="360" w:lineRule="auto"/>
        <w:ind w:firstLine="840" w:firstLineChars="350"/>
        <w:rPr>
          <w:rFonts w:ascii="宋体" w:hAnsi="宋体"/>
          <w:color w:val="auto"/>
          <w:sz w:val="24"/>
        </w:rPr>
      </w:pPr>
      <w:r>
        <w:rPr>
          <w:rFonts w:hint="eastAsia" w:ascii="宋体" w:hAnsi="宋体"/>
          <w:color w:val="auto"/>
          <w:sz w:val="24"/>
        </w:rPr>
        <w:t>⑤不同投标人的投标文件由同一单位或同一人编制的；</w:t>
      </w:r>
    </w:p>
    <w:p>
      <w:pPr>
        <w:spacing w:line="360" w:lineRule="auto"/>
        <w:ind w:firstLine="840" w:firstLineChars="350"/>
        <w:rPr>
          <w:rFonts w:ascii="宋体" w:hAnsi="宋体"/>
          <w:color w:val="auto"/>
          <w:sz w:val="24"/>
        </w:rPr>
      </w:pPr>
      <w:r>
        <w:rPr>
          <w:rFonts w:hint="eastAsia" w:ascii="宋体" w:hAnsi="宋体"/>
          <w:color w:val="auto"/>
          <w:sz w:val="24"/>
        </w:rPr>
        <w:t>⑥不同投标人使用同一人或企业资金缴纳投标保证金的；</w:t>
      </w:r>
    </w:p>
    <w:p>
      <w:pPr>
        <w:spacing w:line="360" w:lineRule="auto"/>
        <w:ind w:firstLine="840" w:firstLineChars="350"/>
        <w:rPr>
          <w:rFonts w:ascii="宋体" w:hAnsi="宋体"/>
          <w:color w:val="auto"/>
          <w:sz w:val="24"/>
        </w:rPr>
      </w:pPr>
      <w:r>
        <w:rPr>
          <w:rFonts w:hint="eastAsia" w:ascii="宋体" w:hAnsi="宋体"/>
          <w:color w:val="auto"/>
          <w:sz w:val="24"/>
        </w:rPr>
        <w:t>⑦不同投标人聘请同一人或同一中介机构为其投标提供技术或经济咨询服务的；</w:t>
      </w:r>
    </w:p>
    <w:p>
      <w:pPr>
        <w:spacing w:line="360" w:lineRule="auto"/>
        <w:ind w:firstLine="480" w:firstLineChars="200"/>
        <w:rPr>
          <w:rFonts w:ascii="宋体" w:hAnsi="宋体"/>
          <w:color w:val="auto"/>
          <w:sz w:val="24"/>
        </w:rPr>
      </w:pPr>
      <w:r>
        <w:rPr>
          <w:rFonts w:hint="eastAsia" w:ascii="宋体" w:hAnsi="宋体"/>
          <w:color w:val="auto"/>
          <w:sz w:val="24"/>
        </w:rPr>
        <w:t>(3) 不按评标委员会要求澄清、说明或补正的。</w:t>
      </w:r>
    </w:p>
    <w:p>
      <w:pPr>
        <w:spacing w:line="360" w:lineRule="auto"/>
        <w:ind w:firstLine="480" w:firstLineChars="200"/>
        <w:rPr>
          <w:rFonts w:ascii="宋体" w:hAnsi="宋体"/>
          <w:color w:val="auto"/>
          <w:sz w:val="24"/>
        </w:rPr>
      </w:pPr>
      <w:r>
        <w:rPr>
          <w:rFonts w:hint="eastAsia" w:ascii="宋体" w:hAnsi="宋体"/>
          <w:color w:val="auto"/>
          <w:sz w:val="24"/>
        </w:rPr>
        <w:t>(4) 投标函中投标报价、交货期、质保期或其它实质性要求不能满足招标文件要求,或作出的承诺与招标文件中提供的投标函样本中相关内容相抵触或有遗漏的。</w:t>
      </w:r>
    </w:p>
    <w:p>
      <w:pPr>
        <w:spacing w:line="360" w:lineRule="auto"/>
        <w:ind w:firstLine="480" w:firstLineChars="200"/>
        <w:rPr>
          <w:rFonts w:ascii="宋体" w:hAnsi="宋体"/>
          <w:color w:val="auto"/>
          <w:sz w:val="24"/>
        </w:rPr>
      </w:pPr>
      <w:r>
        <w:rPr>
          <w:rFonts w:hint="eastAsia" w:ascii="宋体" w:hAnsi="宋体"/>
          <w:color w:val="auto"/>
          <w:sz w:val="24"/>
        </w:rPr>
        <w:t>(5) 未按规定的格式填写，实质性内容不全或关键字迹模糊、无法辨认的。</w:t>
      </w:r>
    </w:p>
    <w:p>
      <w:pPr>
        <w:spacing w:line="360" w:lineRule="auto"/>
        <w:ind w:firstLine="480" w:firstLineChars="200"/>
        <w:rPr>
          <w:rFonts w:ascii="宋体" w:hAnsi="宋体"/>
          <w:color w:val="auto"/>
          <w:sz w:val="24"/>
        </w:rPr>
      </w:pPr>
      <w:r>
        <w:rPr>
          <w:rFonts w:hint="eastAsia" w:ascii="宋体" w:hAnsi="宋体"/>
          <w:color w:val="auto"/>
          <w:sz w:val="24"/>
        </w:rPr>
        <w:t>(6) 投标人递交两份或多份内容不同的投标文件，或在一份投标文件中对同一招标项目报有两个或多个报价，且未声明哪一个有效的。</w:t>
      </w:r>
    </w:p>
    <w:p>
      <w:pPr>
        <w:spacing w:line="360" w:lineRule="auto"/>
        <w:ind w:firstLine="480" w:firstLineChars="200"/>
        <w:rPr>
          <w:rFonts w:ascii="宋体" w:hAnsi="宋体"/>
          <w:color w:val="auto"/>
          <w:sz w:val="24"/>
        </w:rPr>
      </w:pPr>
      <w:r>
        <w:rPr>
          <w:rFonts w:hint="eastAsia" w:ascii="宋体" w:hAnsi="宋体"/>
          <w:color w:val="auto"/>
          <w:sz w:val="24"/>
        </w:rPr>
        <w:t>（7）投标文件中存在招标人不能接受的其它实质性条件。</w:t>
      </w:r>
    </w:p>
    <w:p>
      <w:pPr>
        <w:spacing w:line="360" w:lineRule="auto"/>
        <w:ind w:firstLine="482" w:firstLineChars="200"/>
        <w:rPr>
          <w:rFonts w:ascii="宋体" w:hAnsi="宋体"/>
          <w:b/>
          <w:bCs/>
          <w:color w:val="auto"/>
          <w:sz w:val="24"/>
        </w:rPr>
      </w:pPr>
      <w:r>
        <w:rPr>
          <w:rFonts w:hint="eastAsia" w:ascii="宋体" w:hAnsi="宋体"/>
          <w:b/>
          <w:bCs/>
          <w:color w:val="auto"/>
          <w:sz w:val="24"/>
        </w:rPr>
        <w:t>2、详细评审</w:t>
      </w:r>
    </w:p>
    <w:p>
      <w:pPr>
        <w:spacing w:line="360" w:lineRule="auto"/>
        <w:ind w:firstLine="360" w:firstLineChars="150"/>
        <w:rPr>
          <w:color w:val="auto"/>
        </w:rPr>
      </w:pPr>
      <w:bookmarkStart w:id="91" w:name="_Toc465437306"/>
      <w:r>
        <w:rPr>
          <w:rFonts w:hint="eastAsia" w:ascii="宋体" w:hAnsi="宋体" w:cs="宋体"/>
          <w:color w:val="auto"/>
          <w:kern w:val="0"/>
          <w:sz w:val="24"/>
        </w:rPr>
        <w:t>评标委员会对初步评审合格的投标文件作进一步评审、比较、评分。本办法计分实行百分</w:t>
      </w:r>
      <w:r>
        <w:rPr>
          <w:rFonts w:hint="eastAsia" w:ascii="宋体" w:hAnsi="宋体" w:cs="宋体"/>
          <w:color w:val="auto"/>
          <w:sz w:val="24"/>
        </w:rPr>
        <w:t>制，满分100分，其中：技术标满分</w:t>
      </w:r>
      <w:r>
        <w:rPr>
          <w:rFonts w:hint="eastAsia" w:ascii="宋体" w:hAnsi="宋体" w:cs="宋体"/>
          <w:color w:val="auto"/>
          <w:sz w:val="24"/>
          <w:lang w:val="en-US" w:eastAsia="zh-CN"/>
        </w:rPr>
        <w:t>70</w:t>
      </w:r>
      <w:r>
        <w:rPr>
          <w:rFonts w:hint="eastAsia" w:ascii="宋体" w:hAnsi="宋体" w:cs="宋体"/>
          <w:color w:val="auto"/>
          <w:sz w:val="24"/>
        </w:rPr>
        <w:t>分； 商务标满分</w:t>
      </w:r>
      <w:r>
        <w:rPr>
          <w:rFonts w:hint="eastAsia" w:ascii="宋体" w:hAnsi="宋体" w:cs="宋体"/>
          <w:color w:val="auto"/>
          <w:sz w:val="24"/>
          <w:lang w:val="en-US" w:eastAsia="zh-CN"/>
        </w:rPr>
        <w:t>30</w:t>
      </w:r>
      <w:r>
        <w:rPr>
          <w:rFonts w:hint="eastAsia" w:ascii="宋体" w:hAnsi="宋体" w:cs="宋体"/>
          <w:color w:val="auto"/>
          <w:sz w:val="24"/>
        </w:rPr>
        <w:t>分。</w:t>
      </w:r>
    </w:p>
    <w:p>
      <w:pPr>
        <w:spacing w:line="360" w:lineRule="auto"/>
        <w:ind w:firstLine="484" w:firstLineChars="202"/>
        <w:rPr>
          <w:rFonts w:hint="eastAsia" w:ascii="宋体" w:hAnsi="宋体" w:cs="宋体"/>
          <w:color w:val="auto"/>
          <w:sz w:val="24"/>
        </w:rPr>
      </w:pPr>
      <w:r>
        <w:rPr>
          <w:rFonts w:hint="eastAsia" w:ascii="宋体" w:hAnsi="宋体" w:cs="宋体"/>
          <w:color w:val="auto"/>
          <w:sz w:val="24"/>
        </w:rPr>
        <w:t>评议过程将严格按照招标文件的要求和条件进行。对所有投标人的评估，都采用相同的程序和标准。</w:t>
      </w:r>
    </w:p>
    <w:tbl>
      <w:tblPr>
        <w:tblStyle w:val="39"/>
        <w:tblW w:w="924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964"/>
        <w:gridCol w:w="6416"/>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类别</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cs="Calibri"/>
                <w:b/>
                <w:bCs/>
                <w:sz w:val="24"/>
              </w:rPr>
              <w:t>评分内容</w:t>
            </w:r>
          </w:p>
        </w:tc>
        <w:tc>
          <w:tcPr>
            <w:tcW w:w="6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cs="Calibri"/>
                <w:b/>
                <w:bCs/>
                <w:sz w:val="24"/>
              </w:rPr>
              <w:t>评分标准</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cs="Calibri"/>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技术分</w:t>
            </w:r>
          </w:p>
          <w:p>
            <w:pPr>
              <w:spacing w:line="360" w:lineRule="auto"/>
              <w:jc w:val="center"/>
              <w:rPr>
                <w:rFonts w:ascii="宋体" w:hAnsi="宋体"/>
                <w:b/>
                <w:bCs/>
                <w:sz w:val="24"/>
              </w:rPr>
            </w:pPr>
            <w:r>
              <w:rPr>
                <w:rFonts w:hint="eastAsia" w:ascii="宋体" w:hAnsi="宋体"/>
                <w:sz w:val="24"/>
                <w:u w:val="single"/>
                <w:lang w:val="en-US" w:eastAsia="zh-CN"/>
              </w:rPr>
              <w:t>7</w:t>
            </w:r>
            <w:r>
              <w:rPr>
                <w:rFonts w:hint="eastAsia" w:ascii="宋体" w:hAnsi="宋体"/>
                <w:sz w:val="24"/>
                <w:u w:val="single"/>
              </w:rPr>
              <w:t>0</w:t>
            </w:r>
            <w:r>
              <w:rPr>
                <w:rFonts w:hint="eastAsia" w:ascii="宋体" w:hAnsi="宋体"/>
                <w:sz w:val="24"/>
              </w:rPr>
              <w:t>分</w:t>
            </w: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Arial"/>
                <w:sz w:val="24"/>
              </w:rPr>
            </w:pPr>
            <w:r>
              <w:rPr>
                <w:rFonts w:ascii="宋体" w:hAnsi="宋体"/>
                <w:sz w:val="24"/>
              </w:rPr>
              <w:t>所投产品响应情况</w:t>
            </w:r>
          </w:p>
        </w:tc>
        <w:tc>
          <w:tcPr>
            <w:tcW w:w="6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sz w:val="24"/>
              </w:rPr>
            </w:pPr>
            <w:r>
              <w:rPr>
                <w:rFonts w:ascii="宋体" w:hAnsi="宋体"/>
                <w:sz w:val="24"/>
              </w:rPr>
              <w:t>根据</w:t>
            </w:r>
            <w:r>
              <w:rPr>
                <w:rFonts w:hint="eastAsia" w:ascii="宋体" w:hAnsi="宋体"/>
                <w:sz w:val="24"/>
              </w:rPr>
              <w:t>响应</w:t>
            </w:r>
            <w:r>
              <w:rPr>
                <w:rFonts w:ascii="宋体" w:hAnsi="宋体"/>
                <w:sz w:val="24"/>
              </w:rPr>
              <w:t>文件</w:t>
            </w:r>
            <w:r>
              <w:rPr>
                <w:rFonts w:hint="eastAsia" w:ascii="宋体" w:hAnsi="宋体"/>
                <w:sz w:val="24"/>
              </w:rPr>
              <w:t>所投</w:t>
            </w:r>
            <w:r>
              <w:rPr>
                <w:rFonts w:ascii="宋体" w:hAnsi="宋体"/>
                <w:sz w:val="24"/>
              </w:rPr>
              <w:t>的响应情况进行综合打分。</w:t>
            </w:r>
          </w:p>
          <w:p>
            <w:pPr>
              <w:numPr>
                <w:ilvl w:val="0"/>
                <w:numId w:val="22"/>
              </w:numPr>
              <w:adjustRightInd w:val="0"/>
              <w:snapToGrid w:val="0"/>
              <w:spacing w:line="240" w:lineRule="auto"/>
              <w:rPr>
                <w:rFonts w:ascii="宋体" w:hAnsi="宋体"/>
                <w:sz w:val="24"/>
              </w:rPr>
            </w:pPr>
            <w:r>
              <w:rPr>
                <w:rFonts w:ascii="宋体" w:hAnsi="宋体"/>
                <w:sz w:val="24"/>
              </w:rPr>
              <w:t>完全满足或优于</w:t>
            </w:r>
            <w:r>
              <w:rPr>
                <w:rFonts w:hint="eastAsia" w:ascii="宋体" w:hAnsi="宋体"/>
                <w:sz w:val="24"/>
              </w:rPr>
              <w:t>招标</w:t>
            </w:r>
            <w:r>
              <w:rPr>
                <w:rFonts w:ascii="宋体" w:hAnsi="宋体"/>
                <w:sz w:val="24"/>
              </w:rPr>
              <w:t>文件要求的，得满分</w:t>
            </w:r>
            <w:r>
              <w:rPr>
                <w:rFonts w:hint="eastAsia" w:ascii="宋体" w:hAnsi="宋体"/>
                <w:sz w:val="24"/>
                <w:lang w:val="en-US" w:eastAsia="zh-CN"/>
              </w:rPr>
              <w:t>3</w:t>
            </w:r>
            <w:r>
              <w:rPr>
                <w:rFonts w:hint="eastAsia" w:ascii="宋体" w:hAnsi="宋体"/>
                <w:sz w:val="24"/>
              </w:rPr>
              <w:t>0</w:t>
            </w:r>
            <w:r>
              <w:rPr>
                <w:rFonts w:ascii="宋体" w:hAnsi="宋体"/>
                <w:sz w:val="24"/>
              </w:rPr>
              <w:t>分；</w:t>
            </w:r>
          </w:p>
          <w:p>
            <w:pPr>
              <w:numPr>
                <w:ilvl w:val="0"/>
                <w:numId w:val="22"/>
              </w:numPr>
              <w:adjustRightInd w:val="0"/>
              <w:snapToGrid w:val="0"/>
              <w:spacing w:line="240" w:lineRule="auto"/>
              <w:rPr>
                <w:rFonts w:ascii="宋体" w:hAnsi="宋体"/>
                <w:sz w:val="24"/>
              </w:rPr>
            </w:pPr>
            <w:r>
              <w:rPr>
                <w:rFonts w:hint="eastAsia" w:ascii="宋体" w:hAnsi="宋体"/>
                <w:sz w:val="24"/>
                <w:lang w:val="en-US" w:eastAsia="zh-CN"/>
              </w:rPr>
              <w:t>普通技术参数</w:t>
            </w:r>
            <w:r>
              <w:rPr>
                <w:rFonts w:ascii="宋体" w:hAnsi="宋体"/>
                <w:sz w:val="24"/>
              </w:rPr>
              <w:t>及要求不满足的，每项扣</w:t>
            </w:r>
            <w:r>
              <w:rPr>
                <w:rFonts w:hint="eastAsia" w:ascii="宋体" w:hAnsi="宋体"/>
                <w:sz w:val="24"/>
                <w:lang w:val="en-US" w:eastAsia="zh-CN"/>
              </w:rPr>
              <w:t>1</w:t>
            </w:r>
            <w:r>
              <w:rPr>
                <w:rFonts w:ascii="宋体" w:hAnsi="宋体"/>
                <w:sz w:val="24"/>
              </w:rPr>
              <w:t>分，扣完为止</w:t>
            </w:r>
            <w:r>
              <w:rPr>
                <w:rFonts w:hint="eastAsia" w:ascii="宋体" w:hAnsi="宋体"/>
                <w:sz w:val="24"/>
                <w:lang w:eastAsia="zh-CN"/>
              </w:rPr>
              <w:t>；</w:t>
            </w:r>
          </w:p>
          <w:p>
            <w:pPr>
              <w:adjustRightInd w:val="0"/>
              <w:snapToGrid w:val="0"/>
              <w:spacing w:line="240" w:lineRule="auto"/>
              <w:rPr>
                <w:rFonts w:ascii="宋体" w:hAnsi="宋体"/>
                <w:sz w:val="24"/>
              </w:rPr>
            </w:pPr>
            <w:r>
              <w:rPr>
                <w:rFonts w:hint="eastAsia" w:ascii="宋体" w:hAnsi="宋体"/>
                <w:sz w:val="24"/>
                <w:lang w:val="en-US" w:eastAsia="zh-CN"/>
              </w:rPr>
              <w:t>3</w:t>
            </w:r>
            <w:r>
              <w:rPr>
                <w:rFonts w:ascii="宋体" w:hAnsi="宋体"/>
                <w:sz w:val="24"/>
              </w:rPr>
              <w:t>、标注“</w:t>
            </w:r>
            <w:r>
              <w:rPr>
                <w:rFonts w:hint="eastAsia" w:ascii="宋体" w:hAnsi="宋体" w:cs="宋体"/>
                <w:sz w:val="24"/>
              </w:rPr>
              <w:t>★</w:t>
            </w:r>
            <w:r>
              <w:rPr>
                <w:rFonts w:ascii="宋体" w:hAnsi="宋体"/>
                <w:sz w:val="24"/>
              </w:rPr>
              <w:t>”的技术参数及要求不满足的，每项扣</w:t>
            </w:r>
            <w:r>
              <w:rPr>
                <w:rFonts w:hint="eastAsia" w:ascii="宋体" w:hAnsi="宋体"/>
                <w:sz w:val="24"/>
                <w:lang w:val="en-US" w:eastAsia="zh-CN"/>
              </w:rPr>
              <w:t>2</w:t>
            </w:r>
            <w:r>
              <w:rPr>
                <w:rFonts w:ascii="宋体" w:hAnsi="宋体"/>
                <w:sz w:val="24"/>
              </w:rPr>
              <w:t>分，扣完为止；</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bCs/>
                <w:sz w:val="24"/>
              </w:rPr>
            </w:pPr>
            <w:r>
              <w:rPr>
                <w:rFonts w:hint="eastAsia" w:ascii="宋体" w:hAnsi="宋体" w:cs="Arial"/>
                <w:bCs/>
                <w:sz w:val="24"/>
              </w:rPr>
              <w:t>0-</w:t>
            </w:r>
            <w:r>
              <w:rPr>
                <w:rFonts w:hint="eastAsia" w:ascii="宋体" w:hAnsi="宋体" w:cs="Arial"/>
                <w:bCs/>
                <w:sz w:val="24"/>
                <w:lang w:val="en-US" w:eastAsia="zh-CN"/>
              </w:rPr>
              <w:t>3</w:t>
            </w:r>
            <w:r>
              <w:rPr>
                <w:rFonts w:hint="eastAsia" w:ascii="宋体" w:hAnsi="宋体" w:cs="Arial"/>
                <w:bCs/>
                <w:sz w:val="24"/>
              </w:rPr>
              <w:t>0</w:t>
            </w:r>
            <w:r>
              <w:rPr>
                <w:rFonts w:ascii="宋体" w:hAnsi="宋体" w:cs="Arial"/>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Merge w:val="continue"/>
            <w:tcBorders>
              <w:left w:val="single" w:color="auto" w:sz="4" w:space="0"/>
              <w:right w:val="single" w:color="auto" w:sz="4" w:space="0"/>
            </w:tcBorders>
            <w:vAlign w:val="center"/>
          </w:tcPr>
          <w:p>
            <w:pPr>
              <w:spacing w:line="360" w:lineRule="auto"/>
              <w:jc w:val="center"/>
              <w:rPr>
                <w:rFonts w:ascii="宋体" w:hAnsi="宋体"/>
                <w:b/>
                <w:bCs/>
                <w:sz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cs="宋体"/>
                <w:kern w:val="0"/>
                <w:sz w:val="24"/>
              </w:rPr>
              <w:t>实施方案</w:t>
            </w:r>
          </w:p>
        </w:tc>
        <w:tc>
          <w:tcPr>
            <w:tcW w:w="6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sz w:val="24"/>
              </w:rPr>
            </w:pPr>
            <w:r>
              <w:rPr>
                <w:rFonts w:ascii="宋体" w:hAnsi="宋体"/>
                <w:sz w:val="24"/>
              </w:rPr>
              <w:t>1、投标人针对本项目提供的项目实施计划</w:t>
            </w:r>
            <w:r>
              <w:rPr>
                <w:rFonts w:hint="eastAsia" w:ascii="宋体" w:hAnsi="宋体"/>
                <w:sz w:val="24"/>
              </w:rPr>
              <w:t>和</w:t>
            </w:r>
            <w:r>
              <w:rPr>
                <w:rFonts w:ascii="宋体" w:hAnsi="宋体"/>
                <w:sz w:val="24"/>
              </w:rPr>
              <w:t>质量保证措施完整清晰</w:t>
            </w:r>
            <w:r>
              <w:rPr>
                <w:rFonts w:hint="eastAsia" w:ascii="宋体" w:hAnsi="宋体"/>
                <w:sz w:val="24"/>
              </w:rPr>
              <w:t>、科学</w:t>
            </w:r>
            <w:r>
              <w:rPr>
                <w:rFonts w:ascii="宋体" w:hAnsi="宋体"/>
                <w:sz w:val="24"/>
              </w:rPr>
              <w:t>可行</w:t>
            </w:r>
            <w:r>
              <w:rPr>
                <w:rFonts w:hint="eastAsia" w:ascii="宋体" w:hAnsi="宋体"/>
                <w:sz w:val="24"/>
              </w:rPr>
              <w:t>，</w:t>
            </w:r>
            <w:r>
              <w:rPr>
                <w:rFonts w:ascii="宋体" w:hAnsi="宋体"/>
                <w:sz w:val="24"/>
              </w:rPr>
              <w:t>安装、调试、检测、验收、培训方案详细、周全的，得</w:t>
            </w:r>
            <w:r>
              <w:rPr>
                <w:rFonts w:hint="eastAsia" w:ascii="宋体" w:hAnsi="宋体"/>
                <w:sz w:val="24"/>
              </w:rPr>
              <w:t>5-6</w:t>
            </w:r>
            <w:r>
              <w:rPr>
                <w:rFonts w:ascii="宋体" w:hAnsi="宋体"/>
                <w:sz w:val="24"/>
              </w:rPr>
              <w:t>分；</w:t>
            </w:r>
          </w:p>
          <w:p>
            <w:pPr>
              <w:adjustRightInd w:val="0"/>
              <w:snapToGrid w:val="0"/>
              <w:spacing w:line="240" w:lineRule="auto"/>
              <w:rPr>
                <w:rFonts w:ascii="宋体" w:hAnsi="宋体"/>
                <w:sz w:val="24"/>
              </w:rPr>
            </w:pPr>
            <w:r>
              <w:rPr>
                <w:rFonts w:ascii="宋体" w:hAnsi="宋体"/>
                <w:sz w:val="24"/>
              </w:rPr>
              <w:t>2、实施方案</w:t>
            </w:r>
            <w:r>
              <w:rPr>
                <w:rFonts w:hint="eastAsia" w:ascii="宋体" w:hAnsi="宋体"/>
                <w:sz w:val="24"/>
              </w:rPr>
              <w:t>较</w:t>
            </w:r>
            <w:r>
              <w:rPr>
                <w:rFonts w:ascii="宋体" w:hAnsi="宋体"/>
                <w:sz w:val="24"/>
              </w:rPr>
              <w:t xml:space="preserve">完善，能够保证如期顺利完成供货安装任务，检测、验收、培训方案较为科学可行的，得 </w:t>
            </w:r>
            <w:r>
              <w:rPr>
                <w:rFonts w:hint="eastAsia" w:ascii="宋体" w:hAnsi="宋体"/>
                <w:sz w:val="24"/>
              </w:rPr>
              <w:t>3-4</w:t>
            </w:r>
            <w:r>
              <w:rPr>
                <w:rFonts w:ascii="宋体" w:hAnsi="宋体"/>
                <w:sz w:val="24"/>
              </w:rPr>
              <w:t xml:space="preserve"> 分；</w:t>
            </w:r>
          </w:p>
          <w:p>
            <w:pPr>
              <w:adjustRightInd w:val="0"/>
              <w:snapToGrid w:val="0"/>
              <w:spacing w:line="240" w:lineRule="auto"/>
              <w:rPr>
                <w:rFonts w:ascii="宋体" w:hAnsi="宋体"/>
                <w:sz w:val="24"/>
              </w:rPr>
            </w:pPr>
            <w:r>
              <w:rPr>
                <w:rFonts w:ascii="宋体" w:hAnsi="宋体"/>
                <w:sz w:val="24"/>
              </w:rPr>
              <w:t>3、项目实施、检测、验收、培训服务方案一般的，得</w:t>
            </w:r>
            <w:r>
              <w:rPr>
                <w:rFonts w:hint="eastAsia" w:ascii="宋体" w:hAnsi="宋体"/>
                <w:sz w:val="24"/>
              </w:rPr>
              <w:t>1-2</w:t>
            </w:r>
            <w:r>
              <w:rPr>
                <w:rFonts w:ascii="宋体" w:hAnsi="宋体"/>
                <w:sz w:val="24"/>
              </w:rPr>
              <w:t>分，没有任何内容不得分。</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bCs/>
                <w:sz w:val="24"/>
              </w:rPr>
            </w:pPr>
            <w:r>
              <w:rPr>
                <w:rFonts w:hint="eastAsia" w:ascii="宋体" w:hAnsi="宋体" w:cs="Arial"/>
                <w:bCs/>
                <w:sz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7" w:hRule="atLeast"/>
        </w:trPr>
        <w:tc>
          <w:tcPr>
            <w:tcW w:w="984" w:type="dxa"/>
            <w:vMerge w:val="continue"/>
            <w:tcBorders>
              <w:left w:val="single" w:color="auto" w:sz="4" w:space="0"/>
              <w:right w:val="single" w:color="auto" w:sz="4" w:space="0"/>
            </w:tcBorders>
            <w:vAlign w:val="center"/>
          </w:tcPr>
          <w:p>
            <w:pPr>
              <w:spacing w:line="360" w:lineRule="auto"/>
              <w:jc w:val="center"/>
              <w:rPr>
                <w:rFonts w:ascii="宋体" w:hAnsi="宋体"/>
                <w:b/>
                <w:bCs/>
                <w:sz w:val="24"/>
              </w:rPr>
            </w:pPr>
          </w:p>
        </w:tc>
        <w:tc>
          <w:tcPr>
            <w:tcW w:w="964" w:type="dxa"/>
            <w:tcBorders>
              <w:top w:val="single" w:color="auto" w:sz="4" w:space="0"/>
              <w:left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综合评价及售后服务</w:t>
            </w:r>
          </w:p>
        </w:tc>
        <w:tc>
          <w:tcPr>
            <w:tcW w:w="6416" w:type="dxa"/>
            <w:tcBorders>
              <w:top w:val="single" w:color="auto" w:sz="4" w:space="0"/>
              <w:left w:val="single" w:color="auto" w:sz="4" w:space="0"/>
              <w:right w:val="single" w:color="auto" w:sz="4" w:space="0"/>
            </w:tcBorders>
            <w:vAlign w:val="center"/>
          </w:tcPr>
          <w:p>
            <w:pPr>
              <w:adjustRightInd w:val="0"/>
              <w:snapToGrid w:val="0"/>
              <w:spacing w:line="240" w:lineRule="auto"/>
              <w:rPr>
                <w:rFonts w:ascii="宋体" w:hAnsi="宋体"/>
                <w:sz w:val="24"/>
              </w:rPr>
            </w:pPr>
            <w:r>
              <w:rPr>
                <w:rFonts w:ascii="宋体" w:hAnsi="宋体"/>
                <w:sz w:val="24"/>
              </w:rPr>
              <w:t>1、投标人所投产品的品牌认可度高、市场占有率领先、所搭建系统合理、具备实用性、备品备件预留充足、售后维修网点多（尤其是设备生产厂商在本市内具有完善的原厂备件库与原厂售后服务点，能够提供备件库与售后服务点或分公司相关信息）、服务标准高、响应时间短、拟配备团队技术力量强大、应急维修能够及时响应的，得</w:t>
            </w:r>
            <w:r>
              <w:rPr>
                <w:rFonts w:hint="eastAsia" w:ascii="宋体" w:hAnsi="宋体"/>
                <w:sz w:val="24"/>
              </w:rPr>
              <w:t>6-8</w:t>
            </w:r>
            <w:r>
              <w:rPr>
                <w:rFonts w:ascii="宋体" w:hAnsi="宋体"/>
                <w:sz w:val="24"/>
              </w:rPr>
              <w:t xml:space="preserve">分； </w:t>
            </w:r>
          </w:p>
          <w:p>
            <w:pPr>
              <w:adjustRightInd w:val="0"/>
              <w:snapToGrid w:val="0"/>
              <w:spacing w:line="240" w:lineRule="auto"/>
              <w:rPr>
                <w:rFonts w:ascii="宋体" w:hAnsi="宋体"/>
                <w:sz w:val="24"/>
              </w:rPr>
            </w:pPr>
            <w:r>
              <w:rPr>
                <w:rFonts w:ascii="宋体" w:hAnsi="宋体"/>
                <w:sz w:val="24"/>
              </w:rPr>
              <w:t xml:space="preserve">2、产品满足招标文件要求，市场认可度较高，搭建系统较为实用合理、售后维修网点能够满足实际需要，应急处理及时的，得 </w:t>
            </w: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 xml:space="preserve"> 分；</w:t>
            </w:r>
          </w:p>
          <w:p>
            <w:pPr>
              <w:widowControl/>
              <w:spacing w:line="240" w:lineRule="auto"/>
              <w:rPr>
                <w:rFonts w:ascii="宋体" w:hAnsi="宋体"/>
                <w:sz w:val="24"/>
              </w:rPr>
            </w:pPr>
            <w:r>
              <w:rPr>
                <w:rFonts w:ascii="宋体" w:hAnsi="宋体"/>
                <w:sz w:val="24"/>
              </w:rPr>
              <w:t>3、所投产品一般，整体配置及搭建方案基本能够满足采购需求的，得 1</w:t>
            </w:r>
            <w:r>
              <w:rPr>
                <w:rFonts w:hint="eastAsia" w:ascii="宋体" w:hAnsi="宋体"/>
                <w:sz w:val="24"/>
              </w:rPr>
              <w:t>-2</w:t>
            </w:r>
            <w:r>
              <w:rPr>
                <w:rFonts w:ascii="宋体" w:hAnsi="宋体"/>
                <w:sz w:val="24"/>
              </w:rPr>
              <w:t xml:space="preserve"> 分，未提供</w:t>
            </w:r>
            <w:r>
              <w:rPr>
                <w:rFonts w:hint="eastAsia" w:ascii="宋体" w:hAnsi="宋体"/>
                <w:sz w:val="24"/>
              </w:rPr>
              <w:t>方案</w:t>
            </w:r>
            <w:r>
              <w:rPr>
                <w:rFonts w:ascii="宋体" w:hAnsi="宋体"/>
                <w:sz w:val="24"/>
              </w:rPr>
              <w:t>的不得分。</w:t>
            </w:r>
          </w:p>
          <w:p>
            <w:pPr>
              <w:widowControl/>
              <w:spacing w:line="240" w:lineRule="auto"/>
              <w:jc w:val="left"/>
              <w:rPr>
                <w:rFonts w:ascii="宋体" w:hAnsi="宋体"/>
                <w:sz w:val="24"/>
              </w:rPr>
            </w:pPr>
            <w:r>
              <w:rPr>
                <w:rFonts w:hint="eastAsia" w:ascii="宋体" w:hAnsi="宋体" w:cs="宋体"/>
                <w:color w:val="000000"/>
                <w:kern w:val="0"/>
                <w:sz w:val="24"/>
                <w:szCs w:val="24"/>
              </w:rPr>
              <w:t>4、</w:t>
            </w:r>
            <w:r>
              <w:rPr>
                <w:rFonts w:hint="eastAsia" w:ascii="宋体" w:hAnsi="宋体"/>
                <w:sz w:val="24"/>
              </w:rPr>
              <w:t>投标人所投“视频会议终端”、“投影机”、 “网络中控主机”、“会议系统主机”产品，提供原厂商出具的质保函,每提供一个产品得1 分，最高得 4</w:t>
            </w:r>
            <w:r>
              <w:rPr>
                <w:rFonts w:hint="eastAsia" w:ascii="宋体" w:hAnsi="宋体" w:cs="宋体"/>
                <w:color w:val="000000"/>
                <w:kern w:val="0"/>
                <w:sz w:val="24"/>
                <w:szCs w:val="24"/>
              </w:rPr>
              <w:t xml:space="preserve"> 分。</w:t>
            </w:r>
            <w:r>
              <w:rPr>
                <w:rFonts w:hint="eastAsia" w:ascii="宋体" w:hAnsi="宋体" w:cs="宋体"/>
                <w:b/>
                <w:bCs/>
                <w:color w:val="000000"/>
                <w:kern w:val="0"/>
                <w:sz w:val="24"/>
                <w:szCs w:val="24"/>
              </w:rPr>
              <w:t>注：响应文件中须提供产品原厂商加盖公章的质保函（格式自拟）的复印件，未提供不得分</w:t>
            </w:r>
          </w:p>
        </w:tc>
        <w:tc>
          <w:tcPr>
            <w:tcW w:w="885" w:type="dxa"/>
            <w:tcBorders>
              <w:top w:val="single" w:color="auto" w:sz="4" w:space="0"/>
              <w:left w:val="single" w:color="auto" w:sz="4" w:space="0"/>
              <w:right w:val="single" w:color="auto" w:sz="4" w:space="0"/>
            </w:tcBorders>
            <w:vAlign w:val="center"/>
          </w:tcPr>
          <w:p>
            <w:pPr>
              <w:spacing w:line="360" w:lineRule="auto"/>
              <w:jc w:val="center"/>
              <w:rPr>
                <w:rFonts w:ascii="宋体" w:hAnsi="宋体" w:cs="Arial"/>
                <w:bCs/>
                <w:sz w:val="24"/>
              </w:rPr>
            </w:pPr>
            <w:r>
              <w:rPr>
                <w:rFonts w:hint="eastAsia" w:ascii="宋体" w:hAnsi="宋体" w:cs="Arial"/>
                <w:bCs/>
                <w:sz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
                <w:bCs/>
                <w:sz w:val="24"/>
              </w:rPr>
            </w:pP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Arial"/>
                <w:sz w:val="24"/>
              </w:rPr>
            </w:pPr>
            <w:r>
              <w:rPr>
                <w:rFonts w:hint="eastAsia" w:ascii="宋体" w:hAnsi="宋体" w:cs="Arial"/>
                <w:sz w:val="24"/>
              </w:rPr>
              <w:t>供应商资质及能力</w:t>
            </w:r>
          </w:p>
        </w:tc>
        <w:tc>
          <w:tcPr>
            <w:tcW w:w="6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cs="宋体"/>
                <w:kern w:val="0"/>
                <w:sz w:val="24"/>
              </w:rPr>
            </w:pPr>
            <w:r>
              <w:rPr>
                <w:rFonts w:ascii="宋体" w:hAnsi="宋体" w:cs="宋体"/>
                <w:kern w:val="0"/>
                <w:sz w:val="24"/>
              </w:rPr>
              <w:t>1、投标人具有</w:t>
            </w:r>
            <w:r>
              <w:rPr>
                <w:rFonts w:ascii="宋体" w:hAnsi="宋体" w:cs="Arial"/>
                <w:sz w:val="24"/>
                <w:szCs w:val="24"/>
                <w:shd w:val="clear" w:color="auto" w:fill="FFFFFF"/>
              </w:rPr>
              <w:t>质量管理体系认证、</w:t>
            </w:r>
            <w:r>
              <w:rPr>
                <w:rFonts w:hint="eastAsia" w:ascii="宋体" w:hAnsi="宋体" w:cs="Arial"/>
                <w:sz w:val="24"/>
                <w:szCs w:val="24"/>
                <w:shd w:val="clear" w:color="auto" w:fill="FFFFFF"/>
              </w:rPr>
              <w:t>环境管理体系认证</w:t>
            </w:r>
            <w:r>
              <w:rPr>
                <w:rFonts w:ascii="宋体" w:hAnsi="宋体" w:cs="Arial"/>
                <w:sz w:val="24"/>
                <w:szCs w:val="24"/>
                <w:shd w:val="clear" w:color="auto" w:fill="FFFFFF"/>
              </w:rPr>
              <w:t>、</w:t>
            </w:r>
            <w:r>
              <w:rPr>
                <w:rFonts w:hint="eastAsia" w:ascii="宋体" w:hAnsi="宋体" w:cs="Arial"/>
                <w:sz w:val="24"/>
                <w:szCs w:val="24"/>
                <w:shd w:val="clear" w:color="auto" w:fill="FFFFFF"/>
              </w:rPr>
              <w:t>职业健康安全管理体系认证的</w:t>
            </w:r>
            <w:r>
              <w:rPr>
                <w:rFonts w:ascii="宋体" w:hAnsi="宋体" w:cs="Arial"/>
                <w:sz w:val="24"/>
                <w:szCs w:val="24"/>
                <w:shd w:val="clear" w:color="auto" w:fill="FFFFFF"/>
              </w:rPr>
              <w:t>，</w:t>
            </w:r>
            <w:r>
              <w:rPr>
                <w:rFonts w:hint="eastAsia" w:ascii="宋体" w:hAnsi="宋体" w:cs="宋体"/>
                <w:kern w:val="0"/>
                <w:sz w:val="24"/>
              </w:rPr>
              <w:t>提供证书复印件，</w:t>
            </w:r>
            <w:r>
              <w:rPr>
                <w:rFonts w:ascii="宋体" w:hAnsi="宋体" w:cs="宋体"/>
                <w:kern w:val="0"/>
                <w:sz w:val="24"/>
              </w:rPr>
              <w:t>得</w:t>
            </w:r>
            <w:r>
              <w:rPr>
                <w:rFonts w:hint="eastAsia" w:ascii="宋体" w:hAnsi="宋体" w:cs="宋体"/>
                <w:kern w:val="0"/>
                <w:sz w:val="24"/>
              </w:rPr>
              <w:t>2</w:t>
            </w:r>
            <w:r>
              <w:rPr>
                <w:rFonts w:ascii="宋体" w:hAnsi="宋体" w:cs="宋体"/>
                <w:kern w:val="0"/>
                <w:sz w:val="24"/>
              </w:rPr>
              <w:t>分。</w:t>
            </w:r>
            <w:r>
              <w:rPr>
                <w:rFonts w:hint="eastAsia" w:ascii="宋体" w:hAnsi="宋体" w:cs="宋体"/>
                <w:kern w:val="0"/>
                <w:sz w:val="24"/>
              </w:rPr>
              <w:t>（缺少任何一项不得分）</w:t>
            </w:r>
          </w:p>
          <w:p>
            <w:pPr>
              <w:adjustRightInd w:val="0"/>
              <w:snapToGrid w:val="0"/>
              <w:spacing w:line="240" w:lineRule="auto"/>
              <w:rPr>
                <w:rFonts w:ascii="宋体" w:hAnsi="宋体" w:cs="宋体"/>
                <w:kern w:val="0"/>
                <w:sz w:val="24"/>
              </w:rPr>
            </w:pPr>
            <w:r>
              <w:rPr>
                <w:rFonts w:ascii="宋体" w:hAnsi="宋体" w:cs="宋体"/>
                <w:kern w:val="0"/>
                <w:sz w:val="24"/>
              </w:rPr>
              <w:t>2</w:t>
            </w:r>
            <w:r>
              <w:rPr>
                <w:rFonts w:hint="eastAsia" w:ascii="宋体" w:hAnsi="宋体" w:cs="宋体"/>
                <w:kern w:val="0"/>
                <w:sz w:val="24"/>
              </w:rPr>
              <w:t>、投标人</w:t>
            </w:r>
            <w:r>
              <w:rPr>
                <w:rFonts w:ascii="宋体" w:hAnsi="宋体" w:cs="宋体"/>
                <w:kern w:val="0"/>
                <w:sz w:val="24"/>
              </w:rPr>
              <w:t>具有经中国国家认证认可监督管理委员会认证机构颁发的ISO20000信息技术服务管理体系认证证书，</w:t>
            </w:r>
            <w:r>
              <w:rPr>
                <w:rFonts w:hint="eastAsia" w:ascii="宋体" w:hAnsi="宋体" w:cs="宋体"/>
                <w:kern w:val="0"/>
                <w:sz w:val="24"/>
              </w:rPr>
              <w:t>提供证书复印件，</w:t>
            </w:r>
            <w:r>
              <w:rPr>
                <w:rFonts w:ascii="宋体" w:hAnsi="宋体" w:cs="宋体"/>
                <w:kern w:val="0"/>
                <w:sz w:val="24"/>
              </w:rPr>
              <w:t xml:space="preserve">得 </w:t>
            </w:r>
            <w:r>
              <w:rPr>
                <w:rFonts w:hint="eastAsia" w:ascii="宋体" w:hAnsi="宋体" w:cs="宋体"/>
                <w:kern w:val="0"/>
                <w:sz w:val="24"/>
              </w:rPr>
              <w:t>2</w:t>
            </w:r>
            <w:r>
              <w:rPr>
                <w:rFonts w:ascii="宋体" w:hAnsi="宋体" w:cs="宋体"/>
                <w:kern w:val="0"/>
                <w:sz w:val="24"/>
              </w:rPr>
              <w:t xml:space="preserve"> 分。</w:t>
            </w:r>
          </w:p>
          <w:p>
            <w:pPr>
              <w:adjustRightInd w:val="0"/>
              <w:snapToGrid w:val="0"/>
              <w:spacing w:line="240" w:lineRule="auto"/>
              <w:rPr>
                <w:rFonts w:ascii="宋体" w:hAnsi="宋体" w:cs="宋体"/>
                <w:kern w:val="0"/>
                <w:sz w:val="24"/>
              </w:rPr>
            </w:pPr>
            <w:r>
              <w:rPr>
                <w:rFonts w:ascii="宋体" w:hAnsi="宋体" w:cs="宋体"/>
                <w:kern w:val="0"/>
                <w:sz w:val="24"/>
              </w:rPr>
              <w:t>3、</w:t>
            </w:r>
            <w:r>
              <w:rPr>
                <w:rFonts w:hint="eastAsia" w:ascii="宋体" w:hAnsi="宋体" w:cs="宋体"/>
                <w:kern w:val="0"/>
                <w:sz w:val="24"/>
              </w:rPr>
              <w:t>投标人具有中国音像与数字出版协会音视频工程专业委员会颁发的音视频集成工程企业资质，提供证书复印件，得2</w:t>
            </w:r>
            <w:r>
              <w:rPr>
                <w:rFonts w:ascii="宋体" w:hAnsi="宋体" w:cs="宋体"/>
                <w:kern w:val="0"/>
                <w:sz w:val="24"/>
              </w:rPr>
              <w:t>分。</w:t>
            </w:r>
          </w:p>
          <w:p>
            <w:pPr>
              <w:widowControl/>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4.投标人具有所投视频会议设备厂家服务认证证书，</w:t>
            </w:r>
            <w:r>
              <w:rPr>
                <w:rFonts w:hint="eastAsia" w:ascii="宋体" w:hAnsi="宋体" w:cs="宋体"/>
                <w:kern w:val="0"/>
                <w:sz w:val="24"/>
              </w:rPr>
              <w:t>提供证书复印件，</w:t>
            </w:r>
            <w:r>
              <w:rPr>
                <w:rFonts w:hint="eastAsia" w:ascii="宋体" w:hAnsi="宋体" w:cs="宋体"/>
                <w:color w:val="000000"/>
                <w:kern w:val="0"/>
                <w:sz w:val="24"/>
                <w:szCs w:val="24"/>
              </w:rPr>
              <w:t>得2分。</w:t>
            </w:r>
          </w:p>
          <w:p>
            <w:pPr>
              <w:adjustRightInd w:val="0"/>
              <w:snapToGrid w:val="0"/>
              <w:spacing w:line="240" w:lineRule="auto"/>
              <w:rPr>
                <w:rFonts w:ascii="宋体" w:hAnsi="宋体" w:cs="宋体"/>
                <w:kern w:val="0"/>
                <w:sz w:val="24"/>
              </w:rPr>
            </w:pPr>
            <w:r>
              <w:rPr>
                <w:rFonts w:hint="eastAsia" w:ascii="宋体" w:hAnsi="宋体" w:cs="宋体"/>
                <w:kern w:val="0"/>
                <w:sz w:val="24"/>
              </w:rPr>
              <w:t>5、拟派项目负责人具备系统集成项目管理工程师资质，提供证书复印件，得2</w:t>
            </w:r>
            <w:r>
              <w:rPr>
                <w:rFonts w:ascii="宋体" w:hAnsi="宋体" w:cs="宋体"/>
                <w:kern w:val="0"/>
                <w:sz w:val="24"/>
              </w:rPr>
              <w:t>分。</w:t>
            </w:r>
          </w:p>
          <w:p>
            <w:pPr>
              <w:adjustRightInd w:val="0"/>
              <w:snapToGrid w:val="0"/>
              <w:spacing w:line="240" w:lineRule="auto"/>
              <w:rPr>
                <w:rFonts w:ascii="宋体" w:hAnsi="宋体" w:cs="宋体"/>
                <w:kern w:val="0"/>
                <w:sz w:val="24"/>
              </w:rPr>
            </w:pPr>
            <w:r>
              <w:rPr>
                <w:rFonts w:hint="eastAsia" w:ascii="宋体" w:hAnsi="宋体" w:cs="宋体"/>
                <w:kern w:val="0"/>
                <w:sz w:val="24"/>
              </w:rPr>
              <w:t>6、</w:t>
            </w:r>
            <w:r>
              <w:rPr>
                <w:rFonts w:hint="eastAsia" w:ascii="宋体" w:hAnsi="宋体" w:cs="宋体"/>
                <w:color w:val="000000"/>
                <w:kern w:val="0"/>
                <w:sz w:val="24"/>
                <w:szCs w:val="24"/>
              </w:rPr>
              <w:t>项目实施团队人员中具有所投视频会议设备厂家认证技术工程师证书，提供证书复印件，每人得 1 分，最高得2分。</w:t>
            </w:r>
          </w:p>
          <w:p>
            <w:pPr>
              <w:adjustRightInd w:val="0"/>
              <w:snapToGrid w:val="0"/>
              <w:spacing w:line="240" w:lineRule="auto"/>
              <w:rPr>
                <w:rFonts w:ascii="宋体" w:hAnsi="宋体" w:cs="宋体"/>
                <w:b/>
                <w:kern w:val="0"/>
                <w:sz w:val="24"/>
              </w:rPr>
            </w:pPr>
            <w:r>
              <w:rPr>
                <w:rFonts w:hint="eastAsia" w:ascii="宋体" w:hAnsi="宋体" w:cs="宋体"/>
                <w:b/>
                <w:kern w:val="0"/>
                <w:sz w:val="24"/>
              </w:rPr>
              <w:t>注：上述1、2两项，除提供体系证书复印件以外，还须提供中国国家认证认可监督管理委员会官网查询界面截图，否则，不得分。</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 w:val="24"/>
              </w:rPr>
            </w:pPr>
            <w:r>
              <w:rPr>
                <w:rFonts w:hint="eastAsia" w:ascii="宋体" w:hAnsi="宋体" w:cs="Arial"/>
                <w:sz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Merge w:val="continue"/>
            <w:tcBorders>
              <w:left w:val="single" w:color="auto" w:sz="4" w:space="0"/>
              <w:right w:val="single" w:color="auto" w:sz="4" w:space="0"/>
            </w:tcBorders>
            <w:vAlign w:val="center"/>
          </w:tcPr>
          <w:p>
            <w:pPr>
              <w:spacing w:line="360" w:lineRule="auto"/>
              <w:jc w:val="center"/>
              <w:rPr>
                <w:rFonts w:ascii="宋体" w:hAnsi="宋体"/>
                <w:b/>
                <w:bCs/>
                <w:sz w:val="24"/>
              </w:rPr>
            </w:pP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Arial"/>
                <w:sz w:val="24"/>
              </w:rPr>
            </w:pPr>
            <w:r>
              <w:rPr>
                <w:rFonts w:hint="eastAsia" w:ascii="宋体" w:hAnsi="宋体" w:cs="Arial"/>
                <w:sz w:val="24"/>
              </w:rPr>
              <w:t>供应商业绩</w:t>
            </w:r>
          </w:p>
        </w:tc>
        <w:tc>
          <w:tcPr>
            <w:tcW w:w="64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 w:val="24"/>
              </w:rPr>
            </w:pPr>
            <w:r>
              <w:rPr>
                <w:rFonts w:hint="eastAsia" w:ascii="宋体" w:hAnsi="宋体" w:cs="宋体"/>
                <w:kern w:val="0"/>
                <w:sz w:val="24"/>
              </w:rPr>
              <w:t>自2019年1月1日（以合同签订时间为准）以来，供应商具有音视频会议系统设备供货及安装项目业绩，每提供一份业绩得2分，满分10分。</w:t>
            </w:r>
          </w:p>
          <w:p>
            <w:pPr>
              <w:widowControl/>
              <w:spacing w:line="240" w:lineRule="auto"/>
              <w:rPr>
                <w:rFonts w:ascii="宋体" w:hAnsi="宋体" w:cs="Arial"/>
                <w:b/>
                <w:sz w:val="24"/>
              </w:rPr>
            </w:pPr>
            <w:r>
              <w:rPr>
                <w:rFonts w:hint="eastAsia" w:ascii="宋体" w:hAnsi="宋体" w:cs="Arial"/>
                <w:b/>
                <w:sz w:val="24"/>
              </w:rPr>
              <w:t>注：（1）响应文件中提供该业绩合同复印件，提供原件备查，无原件不得分；</w:t>
            </w:r>
          </w:p>
          <w:p>
            <w:pPr>
              <w:widowControl/>
              <w:spacing w:line="240" w:lineRule="auto"/>
              <w:rPr>
                <w:rFonts w:ascii="宋体" w:hAnsi="宋体" w:cs="Arial"/>
                <w:sz w:val="24"/>
              </w:rPr>
            </w:pPr>
            <w:r>
              <w:rPr>
                <w:rFonts w:hint="eastAsia" w:ascii="宋体" w:hAnsi="宋体" w:cs="Arial"/>
                <w:b/>
                <w:sz w:val="24"/>
              </w:rPr>
              <w:t>（2）时间以合同签订日期为准，如提供的合同无法体现类别、年限等关键信息的，须另附验收报告（或业主证明）等其他证明材料，且该证明材料须经评委会认可，否则不予计分。</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 w:val="24"/>
              </w:rPr>
            </w:pPr>
            <w:r>
              <w:rPr>
                <w:rFonts w:hint="eastAsia" w:ascii="宋体" w:hAnsi="宋体" w:cs="Arial"/>
                <w:sz w:val="24"/>
              </w:rPr>
              <w:t>0-10</w:t>
            </w:r>
          </w:p>
        </w:tc>
      </w:tr>
    </w:tbl>
    <w:p>
      <w:pPr>
        <w:spacing w:line="360" w:lineRule="auto"/>
        <w:ind w:firstLine="470" w:firstLineChars="196"/>
        <w:rPr>
          <w:rFonts w:ascii="宋体" w:hAnsi="宋体"/>
          <w:sz w:val="24"/>
        </w:rPr>
      </w:pPr>
    </w:p>
    <w:p>
      <w:pPr>
        <w:spacing w:line="360" w:lineRule="auto"/>
        <w:ind w:firstLine="470" w:firstLineChars="196"/>
        <w:rPr>
          <w:rFonts w:ascii="宋体" w:hAnsi="宋体"/>
          <w:sz w:val="24"/>
        </w:rPr>
      </w:pPr>
      <w:r>
        <w:rPr>
          <w:rFonts w:hint="eastAsia" w:ascii="宋体" w:hAnsi="宋体"/>
          <w:sz w:val="24"/>
        </w:rPr>
        <w:t>（2）、商务分（</w:t>
      </w:r>
      <w:r>
        <w:rPr>
          <w:rFonts w:hint="eastAsia" w:ascii="宋体" w:hAnsi="宋体"/>
          <w:sz w:val="24"/>
          <w:lang w:val="en-US" w:eastAsia="zh-CN"/>
        </w:rPr>
        <w:t>3</w:t>
      </w:r>
      <w:r>
        <w:rPr>
          <w:rFonts w:hint="eastAsia" w:ascii="宋体" w:hAnsi="宋体"/>
          <w:sz w:val="24"/>
        </w:rPr>
        <w:t>0分）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695"/>
        <w:gridCol w:w="564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Align w:val="center"/>
          </w:tcPr>
          <w:p>
            <w:pPr>
              <w:suppressAutoHyphens/>
              <w:adjustRightInd w:val="0"/>
              <w:snapToGrid w:val="0"/>
              <w:spacing w:line="360" w:lineRule="exact"/>
              <w:ind w:left="-73" w:leftChars="-35" w:right="-80" w:rightChars="-38" w:firstLine="2"/>
              <w:jc w:val="center"/>
              <w:rPr>
                <w:rFonts w:ascii="宋体" w:hAnsi="宋体"/>
                <w:sz w:val="24"/>
              </w:rPr>
            </w:pPr>
            <w:r>
              <w:rPr>
                <w:rFonts w:hint="eastAsia" w:ascii="宋体" w:hAnsi="宋体"/>
                <w:sz w:val="24"/>
              </w:rPr>
              <w:t>序号</w:t>
            </w:r>
          </w:p>
        </w:tc>
        <w:tc>
          <w:tcPr>
            <w:tcW w:w="1695" w:type="dxa"/>
            <w:vAlign w:val="center"/>
          </w:tcPr>
          <w:p>
            <w:pPr>
              <w:suppressAutoHyphens/>
              <w:adjustRightInd w:val="0"/>
              <w:snapToGrid w:val="0"/>
              <w:spacing w:line="360" w:lineRule="exact"/>
              <w:ind w:left="-35" w:right="-38"/>
              <w:jc w:val="center"/>
              <w:rPr>
                <w:rFonts w:ascii="宋体" w:hAnsi="宋体"/>
                <w:sz w:val="24"/>
              </w:rPr>
            </w:pPr>
            <w:r>
              <w:rPr>
                <w:rFonts w:hint="eastAsia" w:ascii="宋体" w:hAnsi="宋体"/>
                <w:sz w:val="24"/>
              </w:rPr>
              <w:t>评审指标</w:t>
            </w:r>
          </w:p>
        </w:tc>
        <w:tc>
          <w:tcPr>
            <w:tcW w:w="5644" w:type="dxa"/>
            <w:vAlign w:val="center"/>
          </w:tcPr>
          <w:p>
            <w:pPr>
              <w:suppressAutoHyphens/>
              <w:adjustRightInd w:val="0"/>
              <w:snapToGrid w:val="0"/>
              <w:spacing w:line="360" w:lineRule="exact"/>
              <w:ind w:left="-35" w:right="-38"/>
              <w:jc w:val="center"/>
              <w:rPr>
                <w:rFonts w:ascii="宋体" w:hAnsi="宋体"/>
                <w:sz w:val="24"/>
              </w:rPr>
            </w:pPr>
            <w:r>
              <w:rPr>
                <w:rFonts w:hint="eastAsia" w:ascii="宋体" w:hAnsi="宋体"/>
                <w:sz w:val="24"/>
              </w:rPr>
              <w:t>评分标准</w:t>
            </w:r>
          </w:p>
        </w:tc>
        <w:tc>
          <w:tcPr>
            <w:tcW w:w="850" w:type="dxa"/>
            <w:vAlign w:val="center"/>
          </w:tcPr>
          <w:p>
            <w:pPr>
              <w:suppressAutoHyphens/>
              <w:adjustRightInd w:val="0"/>
              <w:snapToGrid w:val="0"/>
              <w:ind w:left="-34" w:right="-40"/>
              <w:jc w:val="center"/>
              <w:rPr>
                <w:rFonts w:ascii="宋体" w:hAnsi="宋体"/>
                <w:sz w:val="24"/>
              </w:rPr>
            </w:pPr>
            <w:r>
              <w:rPr>
                <w:rFonts w:hint="eastAsia" w:ascii="宋体" w:hAnsi="宋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Align w:val="center"/>
          </w:tcPr>
          <w:p>
            <w:pPr>
              <w:suppressAutoHyphens/>
              <w:adjustRightInd w:val="0"/>
              <w:snapToGrid w:val="0"/>
              <w:spacing w:line="360" w:lineRule="exact"/>
              <w:ind w:left="-73" w:leftChars="-35" w:right="-80" w:rightChars="-38" w:firstLine="2"/>
              <w:jc w:val="center"/>
              <w:rPr>
                <w:rFonts w:ascii="宋体" w:hAnsi="宋体"/>
                <w:sz w:val="24"/>
              </w:rPr>
            </w:pPr>
            <w:r>
              <w:rPr>
                <w:rFonts w:hint="eastAsia" w:ascii="宋体" w:hAnsi="宋体"/>
                <w:sz w:val="24"/>
              </w:rPr>
              <w:t>1</w:t>
            </w:r>
          </w:p>
        </w:tc>
        <w:tc>
          <w:tcPr>
            <w:tcW w:w="1695" w:type="dxa"/>
            <w:vAlign w:val="center"/>
          </w:tcPr>
          <w:p>
            <w:pPr>
              <w:suppressAutoHyphens/>
              <w:adjustRightInd w:val="0"/>
              <w:snapToGrid w:val="0"/>
              <w:spacing w:line="360" w:lineRule="exact"/>
              <w:ind w:left="-35" w:right="-38"/>
              <w:jc w:val="center"/>
              <w:rPr>
                <w:rFonts w:ascii="宋体" w:hAnsi="宋体"/>
                <w:sz w:val="24"/>
              </w:rPr>
            </w:pPr>
            <w:r>
              <w:rPr>
                <w:rFonts w:hint="eastAsia" w:ascii="宋体" w:hAnsi="宋体"/>
                <w:sz w:val="24"/>
              </w:rPr>
              <w:t>投标总报价</w:t>
            </w:r>
          </w:p>
          <w:p>
            <w:pPr>
              <w:suppressAutoHyphens/>
              <w:adjustRightInd w:val="0"/>
              <w:snapToGrid w:val="0"/>
              <w:spacing w:line="360" w:lineRule="exact"/>
              <w:ind w:left="-35" w:right="-38"/>
              <w:jc w:val="center"/>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0分）</w:t>
            </w:r>
          </w:p>
        </w:tc>
        <w:tc>
          <w:tcPr>
            <w:tcW w:w="5644" w:type="dxa"/>
            <w:vAlign w:val="center"/>
          </w:tcPr>
          <w:p>
            <w:pPr>
              <w:spacing w:line="240" w:lineRule="auto"/>
            </w:pPr>
            <w:r>
              <w:rPr>
                <w:rFonts w:hint="eastAsia"/>
              </w:rPr>
              <w:t>价格标经评审满足本文件要求且在预算范围内的投标人的总报价中，最低价格为评标基准价格，得满分；其他投标人的价格分统一按照下列公式计算：</w:t>
            </w:r>
          </w:p>
          <w:p>
            <w:pPr>
              <w:spacing w:line="240" w:lineRule="auto"/>
              <w:rPr>
                <w:rFonts w:ascii="宋体" w:hAnsi="宋体"/>
                <w:sz w:val="24"/>
              </w:rPr>
            </w:pPr>
            <w:r>
              <w:rPr>
                <w:rFonts w:hint="eastAsia"/>
              </w:rPr>
              <w:t>投标报价得分＝（评标基准价</w:t>
            </w:r>
            <w:r>
              <w:t>/投标报价）</w:t>
            </w:r>
            <w:bookmarkStart w:id="127" w:name="_GoBack"/>
            <w:bookmarkEnd w:id="127"/>
            <w:r>
              <w:t>× 价格分分值（取小数点后两位）。</w:t>
            </w:r>
          </w:p>
        </w:tc>
        <w:tc>
          <w:tcPr>
            <w:tcW w:w="850" w:type="dxa"/>
            <w:vAlign w:val="center"/>
          </w:tcPr>
          <w:p>
            <w:pPr>
              <w:suppressAutoHyphens/>
              <w:adjustRightInd w:val="0"/>
              <w:snapToGrid w:val="0"/>
              <w:spacing w:line="360" w:lineRule="exact"/>
              <w:ind w:left="-35" w:right="-38"/>
              <w:jc w:val="center"/>
              <w:rPr>
                <w:rFonts w:ascii="宋体" w:hAnsi="宋体"/>
                <w:sz w:val="24"/>
              </w:rPr>
            </w:pPr>
            <w:r>
              <w:rPr>
                <w:rFonts w:hint="eastAsia" w:ascii="宋体" w:hAnsi="宋体"/>
                <w:sz w:val="24"/>
                <w:lang w:val="en-US" w:eastAsia="zh-CN"/>
              </w:rPr>
              <w:t>3</w:t>
            </w:r>
            <w:r>
              <w:rPr>
                <w:rFonts w:hint="eastAsia" w:ascii="宋体" w:hAnsi="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0" w:type="dxa"/>
            <w:gridSpan w:val="3"/>
            <w:vAlign w:val="center"/>
          </w:tcPr>
          <w:p>
            <w:pPr>
              <w:pStyle w:val="18"/>
              <w:spacing w:after="0"/>
              <w:jc w:val="center"/>
              <w:rPr>
                <w:rFonts w:ascii="宋体" w:hAnsi="宋体"/>
                <w:kern w:val="2"/>
                <w:sz w:val="24"/>
                <w:lang w:val="en-US"/>
              </w:rPr>
            </w:pPr>
            <w:r>
              <w:rPr>
                <w:rFonts w:hint="eastAsia" w:ascii="宋体" w:hAnsi="宋体"/>
                <w:kern w:val="2"/>
                <w:sz w:val="24"/>
                <w:lang w:val="en-US"/>
              </w:rPr>
              <w:t>合  计</w:t>
            </w:r>
          </w:p>
        </w:tc>
        <w:tc>
          <w:tcPr>
            <w:tcW w:w="850" w:type="dxa"/>
            <w:vAlign w:val="center"/>
          </w:tcPr>
          <w:p>
            <w:pPr>
              <w:suppressAutoHyphens/>
              <w:adjustRightInd w:val="0"/>
              <w:snapToGrid w:val="0"/>
              <w:ind w:left="-35" w:right="-38"/>
              <w:jc w:val="center"/>
              <w:rPr>
                <w:rFonts w:ascii="宋体" w:hAnsi="宋体"/>
                <w:sz w:val="24"/>
              </w:rPr>
            </w:pPr>
            <w:r>
              <w:rPr>
                <w:rFonts w:hint="eastAsia" w:ascii="宋体" w:hAnsi="宋体"/>
                <w:sz w:val="24"/>
                <w:lang w:val="en-US" w:eastAsia="zh-CN"/>
              </w:rPr>
              <w:t>3</w:t>
            </w:r>
            <w:r>
              <w:rPr>
                <w:rFonts w:hint="eastAsia" w:ascii="宋体" w:hAnsi="宋体"/>
                <w:sz w:val="24"/>
              </w:rPr>
              <w:t>0分</w:t>
            </w:r>
          </w:p>
        </w:tc>
      </w:tr>
    </w:tbl>
    <w:p>
      <w:pPr>
        <w:pStyle w:val="2"/>
      </w:pPr>
    </w:p>
    <w:bookmarkEnd w:id="91"/>
    <w:p>
      <w:pPr>
        <w:rPr>
          <w:rFonts w:hint="eastAsia" w:ascii="宋体" w:hAnsi="宋体" w:eastAsia="宋体"/>
          <w:b/>
          <w:szCs w:val="21"/>
          <w:lang w:val="en-US" w:eastAsia="zh-CN"/>
        </w:rPr>
      </w:pPr>
      <w:r>
        <w:rPr>
          <w:rFonts w:hint="eastAsia" w:ascii="宋体" w:hAnsi="宋体"/>
          <w:b/>
          <w:szCs w:val="21"/>
          <w:lang w:val="en-US" w:eastAsia="zh-CN"/>
        </w:rPr>
        <w:t>注：</w:t>
      </w:r>
    </w:p>
    <w:p>
      <w:pPr>
        <w:spacing w:line="360" w:lineRule="auto"/>
        <w:rPr>
          <w:rFonts w:ascii="宋体" w:hAnsi="宋体"/>
          <w:b/>
          <w:szCs w:val="21"/>
        </w:rPr>
      </w:pPr>
      <w:r>
        <w:rPr>
          <w:rFonts w:hint="eastAsia" w:ascii="宋体" w:hAnsi="宋体"/>
          <w:b/>
          <w:szCs w:val="21"/>
        </w:rPr>
        <w:t>1、投标人须在投标文件中提供以上评标办法涉及的相关证明、证书的复印件并加盖投标人公章；所有证书必须在有效期内。</w:t>
      </w:r>
    </w:p>
    <w:p>
      <w:pPr>
        <w:spacing w:line="360" w:lineRule="auto"/>
        <w:rPr>
          <w:rFonts w:ascii="宋体" w:hAnsi="宋体"/>
          <w:b/>
          <w:szCs w:val="21"/>
        </w:rPr>
      </w:pPr>
      <w:r>
        <w:rPr>
          <w:rFonts w:hint="eastAsia" w:ascii="宋体" w:hAnsi="宋体"/>
          <w:b/>
          <w:szCs w:val="21"/>
        </w:rPr>
        <w:t>2、投标人必须对提供的全部资料的真实性全权负责，若存在提供虚假证书及相关资料或存在其他弄虚作假行为的，一经查实，取消其中标资格并没收投标保证金。</w:t>
      </w:r>
    </w:p>
    <w:p>
      <w:pPr>
        <w:spacing w:line="360" w:lineRule="auto"/>
      </w:pPr>
      <w:r>
        <w:rPr>
          <w:rFonts w:hint="eastAsia" w:ascii="宋体" w:hAnsi="宋体"/>
          <w:b/>
          <w:szCs w:val="21"/>
        </w:rPr>
        <w:t>3、以上打分项评审资料在投标文件中需提供复印件加盖公章，没有的不得分；</w:t>
      </w:r>
    </w:p>
    <w:p>
      <w:pPr>
        <w:adjustRightInd w:val="0"/>
        <w:snapToGrid w:val="0"/>
        <w:spacing w:line="360" w:lineRule="auto"/>
        <w:rPr>
          <w:rFonts w:ascii="宋体" w:hAnsi="宋体"/>
          <w:b/>
          <w:szCs w:val="21"/>
        </w:rPr>
      </w:pPr>
      <w:r>
        <w:rPr>
          <w:rFonts w:hint="eastAsia" w:ascii="宋体" w:hAnsi="宋体"/>
          <w:b/>
          <w:szCs w:val="21"/>
        </w:rPr>
        <w:t>4、如投标人的各类证书原件正在变更、年检的，须有相应的行业管理部门出具书面证明，并注明证书资质等级等相关主要内容。</w:t>
      </w:r>
    </w:p>
    <w:p>
      <w:pPr>
        <w:spacing w:line="360" w:lineRule="auto"/>
        <w:ind w:firstLine="482" w:firstLineChars="200"/>
        <w:rPr>
          <w:rFonts w:ascii="宋体" w:hAnsi="宋体"/>
          <w:b/>
          <w:bCs/>
          <w:sz w:val="24"/>
        </w:rPr>
      </w:pPr>
      <w:r>
        <w:rPr>
          <w:rFonts w:hint="eastAsia" w:ascii="宋体" w:hAnsi="宋体"/>
          <w:b/>
          <w:bCs/>
          <w:sz w:val="24"/>
        </w:rPr>
        <w:t>3、计分办法</w:t>
      </w:r>
    </w:p>
    <w:p>
      <w:pPr>
        <w:spacing w:line="360" w:lineRule="auto"/>
        <w:ind w:firstLine="480" w:firstLineChars="200"/>
        <w:rPr>
          <w:rFonts w:ascii="宋体" w:hAnsi="宋体"/>
          <w:sz w:val="24"/>
        </w:rPr>
      </w:pPr>
      <w:r>
        <w:rPr>
          <w:rFonts w:hint="eastAsia" w:ascii="宋体" w:hAnsi="宋体"/>
          <w:sz w:val="24"/>
        </w:rPr>
        <w:t>3.1 评标委员会成员按照招标文件和本办法上述有关规定,给各投标文件评分。</w:t>
      </w:r>
    </w:p>
    <w:p>
      <w:pPr>
        <w:spacing w:line="360" w:lineRule="auto"/>
        <w:ind w:firstLine="480" w:firstLineChars="200"/>
        <w:rPr>
          <w:rFonts w:ascii="宋体" w:hAnsi="宋体"/>
          <w:sz w:val="24"/>
        </w:rPr>
      </w:pPr>
      <w:r>
        <w:rPr>
          <w:rFonts w:hint="eastAsia" w:ascii="宋体" w:hAnsi="宋体"/>
          <w:sz w:val="24"/>
        </w:rPr>
        <w:t>3.2 技术分计算：评标委员评分汇总后再进行算术平均。</w:t>
      </w:r>
    </w:p>
    <w:p>
      <w:pPr>
        <w:spacing w:line="360" w:lineRule="auto"/>
        <w:ind w:firstLine="480" w:firstLineChars="200"/>
        <w:rPr>
          <w:rFonts w:ascii="宋体" w:hAnsi="宋体"/>
          <w:sz w:val="24"/>
        </w:rPr>
      </w:pPr>
      <w:r>
        <w:rPr>
          <w:rFonts w:hint="eastAsia" w:ascii="宋体" w:hAnsi="宋体"/>
          <w:sz w:val="24"/>
        </w:rPr>
        <w:t>3.3 各项统计、评分结果均按四舍五入方法精确到小数点后二位，小数点后第三位“四舍五入”。</w:t>
      </w:r>
    </w:p>
    <w:p>
      <w:pPr>
        <w:spacing w:line="360" w:lineRule="auto"/>
        <w:ind w:firstLine="480" w:firstLineChars="200"/>
        <w:rPr>
          <w:rFonts w:ascii="宋体" w:hAnsi="宋体"/>
          <w:sz w:val="24"/>
        </w:rPr>
      </w:pPr>
      <w:r>
        <w:rPr>
          <w:rFonts w:hint="eastAsia" w:ascii="宋体" w:hAnsi="宋体"/>
          <w:sz w:val="24"/>
        </w:rPr>
        <w:t>3.4 投标人最终得分=技术分+商务分。</w:t>
      </w:r>
    </w:p>
    <w:p>
      <w:pPr>
        <w:spacing w:line="360" w:lineRule="auto"/>
        <w:ind w:firstLine="482" w:firstLineChars="200"/>
        <w:rPr>
          <w:rFonts w:ascii="宋体" w:hAnsi="宋体"/>
          <w:b/>
          <w:sz w:val="24"/>
        </w:rPr>
      </w:pPr>
      <w:r>
        <w:rPr>
          <w:rFonts w:hint="eastAsia" w:ascii="宋体" w:hAnsi="宋体"/>
          <w:b/>
          <w:sz w:val="24"/>
        </w:rPr>
        <w:t>4、投标文件的澄清和补正</w:t>
      </w:r>
    </w:p>
    <w:p>
      <w:pPr>
        <w:spacing w:line="360" w:lineRule="auto"/>
        <w:ind w:firstLine="480" w:firstLineChars="200"/>
        <w:rPr>
          <w:rFonts w:ascii="宋体" w:hAnsi="宋体"/>
          <w:sz w:val="24"/>
        </w:rPr>
      </w:pPr>
      <w:r>
        <w:rPr>
          <w:rFonts w:hint="eastAsia" w:ascii="宋体" w:hAnsi="宋体"/>
          <w:sz w:val="24"/>
        </w:rPr>
        <w:t>4.1在评标过程中，评标委员会可以书面形式要求投标人对所提交投标文件中不明确的内容进行书面澄清或说明，或者对细微偏差进行补正。评标委员会不接受投标人主动提出的澄清、说明或补正。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sz w:val="24"/>
        </w:rPr>
      </w:pPr>
      <w:r>
        <w:rPr>
          <w:rFonts w:hint="eastAsia" w:ascii="宋体" w:hAnsi="宋体"/>
          <w:sz w:val="24"/>
        </w:rPr>
        <w:t>4.2 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sz w:val="24"/>
        </w:rPr>
      </w:pPr>
      <w:r>
        <w:rPr>
          <w:rFonts w:hint="eastAsia" w:ascii="宋体" w:hAnsi="宋体"/>
          <w:sz w:val="24"/>
        </w:rPr>
        <w:t>4.3 评标委员会对投标人提交的澄清、说明或补正有疑问的，可以要求投标人进一步澄清、说明或补正，直至满足评标委员会的要求。</w:t>
      </w:r>
    </w:p>
    <w:p>
      <w:pPr>
        <w:spacing w:line="360" w:lineRule="auto"/>
        <w:rPr>
          <w:rFonts w:ascii="Arial" w:hAnsi="Arial" w:cs="Arial"/>
          <w:b/>
          <w:sz w:val="24"/>
        </w:rPr>
      </w:pPr>
      <w:r>
        <w:rPr>
          <w:rFonts w:hint="eastAsia" w:ascii="Arial" w:hAnsi="Arial" w:cs="Arial"/>
          <w:b/>
          <w:sz w:val="24"/>
        </w:rPr>
        <w:t>五</w:t>
      </w:r>
      <w:r>
        <w:rPr>
          <w:rFonts w:ascii="Arial" w:hAnsi="Arial" w:cs="Arial"/>
          <w:b/>
          <w:sz w:val="24"/>
        </w:rPr>
        <w:t>、推荐中标候选人</w:t>
      </w:r>
    </w:p>
    <w:p>
      <w:pPr>
        <w:spacing w:line="360" w:lineRule="auto"/>
        <w:ind w:firstLine="480" w:firstLineChars="200"/>
        <w:rPr>
          <w:sz w:val="24"/>
        </w:rPr>
      </w:pPr>
      <w:r>
        <w:rPr>
          <w:rFonts w:hint="eastAsia"/>
          <w:sz w:val="24"/>
        </w:rPr>
        <w:t>评标委员会根据各投标人最终得分，按由高到低顺序依次向招标人推</w:t>
      </w:r>
      <w:r>
        <w:rPr>
          <w:rFonts w:hint="eastAsia" w:ascii="宋体" w:hAnsi="宋体" w:cs="宋体"/>
          <w:sz w:val="24"/>
        </w:rPr>
        <w:t>荐1-3名</w:t>
      </w:r>
      <w:r>
        <w:rPr>
          <w:rFonts w:hint="eastAsia"/>
          <w:sz w:val="24"/>
        </w:rPr>
        <w:t>有排序的中标候选人</w:t>
      </w:r>
      <w:r>
        <w:rPr>
          <w:rFonts w:hint="eastAsia"/>
          <w:sz w:val="24"/>
          <w:lang w:val="de-DE"/>
        </w:rPr>
        <w:t>。</w:t>
      </w:r>
      <w:r>
        <w:rPr>
          <w:rFonts w:hint="eastAsia"/>
          <w:sz w:val="24"/>
        </w:rPr>
        <w:t>总得分相同的，以商务得分高的优先，若商务、技术得分都相同，由评委投票按少数服从多数的原则确定。根据评标委员会推荐的中标候选人名单，招标人依法确定第一中标候选人为中标人。第一中标候选人主动放弃中标或因其他原因而不与招标人签订合同的，招标人有权按排名顺序从其他中标候选人以递补方式确定中标人。</w:t>
      </w:r>
    </w:p>
    <w:p>
      <w:pPr>
        <w:rPr>
          <w:lang w:bidi="he-IL"/>
        </w:rPr>
      </w:pPr>
      <w:bookmarkStart w:id="92" w:name="_Toc484070274"/>
    </w:p>
    <w:p>
      <w:pPr>
        <w:pStyle w:val="3"/>
        <w:keepNext w:val="0"/>
        <w:spacing w:before="360" w:beforeLines="150" w:after="240" w:afterLines="100" w:line="460" w:lineRule="exact"/>
        <w:ind w:left="0" w:firstLine="0"/>
        <w:jc w:val="center"/>
        <w:rPr>
          <w:rFonts w:hint="eastAsia" w:ascii="宋体" w:hAnsi="宋体" w:eastAsia="宋体"/>
          <w:b/>
          <w:kern w:val="0"/>
        </w:rPr>
      </w:pPr>
    </w:p>
    <w:p>
      <w:pPr>
        <w:pStyle w:val="4"/>
        <w:rPr>
          <w:rFonts w:hint="eastAsia" w:ascii="宋体" w:hAnsi="宋体" w:eastAsia="宋体"/>
          <w:b/>
          <w:kern w:val="0"/>
        </w:rPr>
      </w:pPr>
    </w:p>
    <w:p>
      <w:pPr>
        <w:rPr>
          <w:rFonts w:hint="eastAsia" w:ascii="宋体" w:hAnsi="宋体" w:eastAsia="宋体"/>
          <w:b/>
          <w:kern w:val="0"/>
        </w:rPr>
      </w:pPr>
    </w:p>
    <w:p>
      <w:pPr>
        <w:pStyle w:val="2"/>
        <w:rPr>
          <w:rFonts w:hint="eastAsia" w:ascii="宋体" w:hAnsi="宋体" w:eastAsia="宋体"/>
          <w:b/>
          <w:kern w:val="0"/>
        </w:rPr>
      </w:pPr>
    </w:p>
    <w:p>
      <w:pPr>
        <w:rPr>
          <w:rFonts w:hint="eastAsia" w:ascii="宋体" w:hAnsi="宋体" w:eastAsia="宋体"/>
          <w:b/>
          <w:kern w:val="0"/>
        </w:rPr>
      </w:pPr>
    </w:p>
    <w:p>
      <w:pPr>
        <w:pStyle w:val="2"/>
        <w:rPr>
          <w:rFonts w:hint="eastAsia" w:ascii="宋体" w:hAnsi="宋体" w:eastAsia="宋体"/>
          <w:b/>
          <w:kern w:val="0"/>
        </w:rPr>
      </w:pPr>
    </w:p>
    <w:p>
      <w:pPr>
        <w:rPr>
          <w:rFonts w:hint="eastAsia" w:ascii="宋体" w:hAnsi="宋体" w:eastAsia="宋体"/>
          <w:b/>
          <w:kern w:val="0"/>
        </w:rPr>
      </w:pPr>
    </w:p>
    <w:p>
      <w:pPr>
        <w:pStyle w:val="2"/>
        <w:rPr>
          <w:rFonts w:hint="eastAsia" w:ascii="宋体" w:hAnsi="宋体" w:eastAsia="宋体"/>
          <w:b/>
          <w:kern w:val="0"/>
        </w:rPr>
      </w:pPr>
    </w:p>
    <w:p>
      <w:pPr>
        <w:rPr>
          <w:rFonts w:hint="eastAsia" w:ascii="宋体" w:hAnsi="宋体" w:eastAsia="宋体"/>
          <w:b/>
          <w:kern w:val="0"/>
        </w:rPr>
      </w:pPr>
    </w:p>
    <w:p>
      <w:pPr>
        <w:pStyle w:val="2"/>
        <w:rPr>
          <w:rFonts w:hint="eastAsia" w:ascii="宋体" w:hAnsi="宋体" w:eastAsia="宋体"/>
          <w:b/>
          <w:kern w:val="0"/>
        </w:rPr>
      </w:pPr>
    </w:p>
    <w:p>
      <w:pPr>
        <w:rPr>
          <w:rFonts w:hint="eastAsia" w:ascii="宋体" w:hAnsi="宋体" w:eastAsia="宋体"/>
          <w:b/>
          <w:kern w:val="0"/>
        </w:rPr>
      </w:pPr>
    </w:p>
    <w:p>
      <w:pPr>
        <w:pStyle w:val="2"/>
        <w:rPr>
          <w:rFonts w:hint="eastAsia" w:ascii="宋体" w:hAnsi="宋体" w:eastAsia="宋体"/>
          <w:b/>
          <w:kern w:val="0"/>
        </w:rPr>
      </w:pPr>
    </w:p>
    <w:p>
      <w:pPr>
        <w:rPr>
          <w:rFonts w:hint="eastAsia" w:ascii="宋体" w:hAnsi="宋体" w:eastAsia="宋体"/>
          <w:b/>
          <w:kern w:val="0"/>
        </w:rPr>
      </w:pPr>
    </w:p>
    <w:p>
      <w:pPr>
        <w:pStyle w:val="2"/>
        <w:rPr>
          <w:rFonts w:hint="eastAsia" w:ascii="宋体" w:hAnsi="宋体" w:eastAsia="宋体"/>
          <w:b/>
          <w:kern w:val="0"/>
        </w:rPr>
      </w:pPr>
    </w:p>
    <w:p>
      <w:pPr>
        <w:rPr>
          <w:rFonts w:hint="eastAsia" w:ascii="宋体" w:hAnsi="宋体" w:eastAsia="宋体"/>
          <w:b/>
          <w:kern w:val="0"/>
        </w:rPr>
      </w:pPr>
    </w:p>
    <w:p>
      <w:pPr>
        <w:pStyle w:val="2"/>
        <w:rPr>
          <w:rFonts w:hint="eastAsia" w:ascii="宋体" w:hAnsi="宋体" w:eastAsia="宋体"/>
          <w:b/>
          <w:kern w:val="0"/>
        </w:rPr>
      </w:pPr>
    </w:p>
    <w:p>
      <w:pPr>
        <w:rPr>
          <w:rFonts w:hint="eastAsia" w:ascii="宋体" w:hAnsi="宋体" w:eastAsia="宋体"/>
          <w:b/>
          <w:kern w:val="0"/>
        </w:rPr>
      </w:pPr>
    </w:p>
    <w:p>
      <w:pPr>
        <w:pStyle w:val="2"/>
        <w:rPr>
          <w:rFonts w:hint="eastAsia"/>
        </w:rPr>
      </w:pPr>
    </w:p>
    <w:p>
      <w:pPr>
        <w:pStyle w:val="3"/>
        <w:keepNext w:val="0"/>
        <w:spacing w:before="360" w:beforeLines="150" w:after="240" w:afterLines="100" w:line="460" w:lineRule="exact"/>
        <w:ind w:left="0" w:firstLine="0"/>
        <w:jc w:val="center"/>
        <w:rPr>
          <w:rFonts w:ascii="宋体" w:hAnsi="宋体" w:eastAsia="宋体"/>
          <w:b/>
          <w:kern w:val="0"/>
        </w:rPr>
      </w:pPr>
      <w:r>
        <w:rPr>
          <w:rFonts w:hint="eastAsia" w:ascii="宋体" w:hAnsi="宋体" w:eastAsia="宋体"/>
          <w:b/>
          <w:kern w:val="0"/>
        </w:rPr>
        <w:t>第六章  投标文件格式</w:t>
      </w:r>
      <w:bookmarkEnd w:id="65"/>
      <w:bookmarkEnd w:id="66"/>
      <w:bookmarkEnd w:id="67"/>
      <w:bookmarkEnd w:id="92"/>
    </w:p>
    <w:p>
      <w:pPr>
        <w:spacing w:after="120" w:afterLines="50" w:line="460" w:lineRule="exact"/>
        <w:jc w:val="center"/>
        <w:rPr>
          <w:rFonts w:ascii="宋体" w:hAnsi="宋体"/>
          <w:b/>
          <w:sz w:val="32"/>
          <w:szCs w:val="32"/>
        </w:rPr>
      </w:pPr>
      <w:bookmarkStart w:id="93" w:name="_Toc356993556"/>
      <w:bookmarkStart w:id="94" w:name="_Toc178044905"/>
      <w:bookmarkStart w:id="95" w:name="_Toc180993039"/>
      <w:r>
        <w:rPr>
          <w:rFonts w:hint="eastAsia" w:ascii="宋体" w:hAnsi="宋体"/>
          <w:b/>
          <w:sz w:val="32"/>
          <w:szCs w:val="32"/>
        </w:rPr>
        <w:t>一、 投标文件商务标格式</w:t>
      </w:r>
    </w:p>
    <w:p>
      <w:pPr>
        <w:adjustRightInd w:val="0"/>
        <w:snapToGrid w:val="0"/>
        <w:spacing w:after="120" w:afterLines="50" w:line="460" w:lineRule="exact"/>
        <w:jc w:val="right"/>
        <w:rPr>
          <w:rFonts w:ascii="宋体" w:hAnsi="宋体"/>
          <w:b/>
          <w:sz w:val="32"/>
          <w:szCs w:val="32"/>
        </w:rPr>
      </w:pPr>
      <w:r>
        <w:rPr>
          <w:rFonts w:hint="eastAsia" w:ascii="宋体" w:hAnsi="宋体"/>
          <w:b/>
          <w:sz w:val="32"/>
          <w:szCs w:val="32"/>
        </w:rPr>
        <w:t>正/副本</w:t>
      </w:r>
    </w:p>
    <w:p>
      <w:pPr>
        <w:adjustRightInd w:val="0"/>
        <w:snapToGrid w:val="0"/>
        <w:spacing w:after="120" w:afterLines="50" w:line="460" w:lineRule="exact"/>
        <w:ind w:firstLine="321" w:firstLineChars="100"/>
        <w:rPr>
          <w:rFonts w:ascii="宋体" w:hAnsi="宋体"/>
          <w:b/>
          <w:sz w:val="32"/>
          <w:szCs w:val="32"/>
        </w:rPr>
      </w:pPr>
      <w:r>
        <w:rPr>
          <w:rFonts w:hint="eastAsia" w:ascii="宋体" w:hAnsi="宋体"/>
          <w:b/>
          <w:sz w:val="32"/>
          <w:szCs w:val="32"/>
          <w:u w:val="single"/>
        </w:rPr>
        <w:t xml:space="preserve">                                     </w:t>
      </w:r>
      <w:r>
        <w:rPr>
          <w:rFonts w:hint="eastAsia" w:ascii="宋体" w:hAnsi="宋体"/>
          <w:b/>
          <w:sz w:val="32"/>
          <w:szCs w:val="32"/>
        </w:rPr>
        <w:t>（项目名称）</w:t>
      </w:r>
    </w:p>
    <w:p>
      <w:pPr>
        <w:pStyle w:val="2"/>
        <w:adjustRightInd w:val="0"/>
        <w:snapToGrid w:val="0"/>
        <w:spacing w:afterLines="50" w:line="460" w:lineRule="exact"/>
        <w:jc w:val="center"/>
        <w:rPr>
          <w:rFonts w:ascii="宋体" w:hAnsi="宋体"/>
          <w:b/>
          <w:spacing w:val="40"/>
          <w:sz w:val="72"/>
          <w:szCs w:val="72"/>
        </w:rPr>
      </w:pPr>
    </w:p>
    <w:p>
      <w:pPr>
        <w:jc w:val="center"/>
        <w:rPr>
          <w:sz w:val="72"/>
          <w:szCs w:val="72"/>
        </w:rPr>
      </w:pPr>
    </w:p>
    <w:p>
      <w:pPr>
        <w:jc w:val="center"/>
        <w:rPr>
          <w:sz w:val="72"/>
          <w:szCs w:val="72"/>
        </w:rPr>
      </w:pPr>
      <w:r>
        <w:rPr>
          <w:rFonts w:hint="eastAsia"/>
          <w:sz w:val="72"/>
          <w:szCs w:val="72"/>
        </w:rPr>
        <w:t>投  标  文  件</w:t>
      </w:r>
    </w:p>
    <w:p>
      <w:pPr>
        <w:pStyle w:val="2"/>
        <w:adjustRightInd w:val="0"/>
        <w:snapToGrid w:val="0"/>
        <w:spacing w:afterLines="50" w:line="460" w:lineRule="exact"/>
        <w:jc w:val="center"/>
        <w:rPr>
          <w:rFonts w:ascii="宋体" w:hAnsi="宋体"/>
          <w:sz w:val="32"/>
          <w:szCs w:val="32"/>
        </w:rPr>
      </w:pPr>
    </w:p>
    <w:p>
      <w:pPr>
        <w:pStyle w:val="2"/>
        <w:adjustRightInd w:val="0"/>
        <w:snapToGrid w:val="0"/>
        <w:spacing w:afterLines="50" w:line="460" w:lineRule="exact"/>
        <w:ind w:firstLine="2240" w:firstLineChars="700"/>
        <w:rPr>
          <w:rFonts w:ascii="宋体" w:hAnsi="宋体"/>
          <w:sz w:val="32"/>
          <w:szCs w:val="32"/>
        </w:rPr>
      </w:pPr>
      <w:r>
        <w:rPr>
          <w:rFonts w:hint="eastAsia" w:ascii="宋体" w:hAnsi="宋体"/>
          <w:sz w:val="32"/>
          <w:szCs w:val="32"/>
        </w:rPr>
        <w:t xml:space="preserve">招标编号：WKZB2212AHJB12252 </w:t>
      </w:r>
    </w:p>
    <w:p>
      <w:pPr>
        <w:spacing w:line="460" w:lineRule="exact"/>
      </w:pPr>
      <w:r>
        <w:rPr>
          <w:rFonts w:hint="eastAsia"/>
        </w:rPr>
        <w:t xml:space="preserve"> </w:t>
      </w:r>
    </w:p>
    <w:p>
      <w:pPr>
        <w:spacing w:line="460" w:lineRule="exact"/>
      </w:pPr>
    </w:p>
    <w:p>
      <w:pPr>
        <w:spacing w:line="460" w:lineRule="exact"/>
      </w:pPr>
    </w:p>
    <w:p>
      <w:pPr>
        <w:spacing w:line="460" w:lineRule="exact"/>
      </w:pPr>
    </w:p>
    <w:p>
      <w:pPr>
        <w:spacing w:line="460" w:lineRule="exact"/>
      </w:pPr>
    </w:p>
    <w:p>
      <w:pPr>
        <w:spacing w:line="460" w:lineRule="exact"/>
      </w:pPr>
    </w:p>
    <w:p>
      <w:pPr>
        <w:spacing w:line="460" w:lineRule="exact"/>
      </w:pPr>
    </w:p>
    <w:p>
      <w:pPr>
        <w:spacing w:line="460" w:lineRule="exact"/>
      </w:pPr>
    </w:p>
    <w:p>
      <w:pPr>
        <w:spacing w:line="460" w:lineRule="exact"/>
      </w:pPr>
    </w:p>
    <w:p>
      <w:pPr>
        <w:pStyle w:val="19"/>
        <w:adjustRightInd w:val="0"/>
        <w:snapToGrid w:val="0"/>
        <w:spacing w:after="120" w:afterLines="50" w:line="460" w:lineRule="exact"/>
        <w:ind w:left="1050" w:leftChars="500" w:firstLine="0" w:firstLineChars="0"/>
        <w:rPr>
          <w:rFonts w:ascii="宋体" w:hAnsi="宋体"/>
          <w:b/>
          <w:bCs/>
          <w:sz w:val="28"/>
          <w:szCs w:val="28"/>
        </w:rPr>
      </w:pPr>
      <w:r>
        <w:rPr>
          <w:rFonts w:hint="eastAsia" w:ascii="宋体" w:hAnsi="宋体"/>
          <w:b/>
          <w:bCs/>
          <w:sz w:val="28"/>
          <w:szCs w:val="28"/>
        </w:rPr>
        <w:t>投标文件内容：</w:t>
      </w:r>
      <w:r>
        <w:rPr>
          <w:rFonts w:hint="eastAsia" w:ascii="宋体" w:hAnsi="宋体"/>
          <w:b/>
          <w:bCs/>
          <w:sz w:val="28"/>
          <w:szCs w:val="28"/>
          <w:u w:val="single"/>
        </w:rPr>
        <w:t xml:space="preserve">    </w:t>
      </w:r>
      <w:r>
        <w:rPr>
          <w:rFonts w:hint="eastAsia" w:ascii="宋体" w:hAnsi="宋体"/>
          <w:b/>
          <w:bCs/>
          <w:sz w:val="28"/>
          <w:szCs w:val="28"/>
          <w:u w:val="single"/>
        </w:rPr>
        <w:tab/>
      </w:r>
      <w:r>
        <w:rPr>
          <w:rFonts w:hint="eastAsia" w:ascii="宋体" w:hAnsi="宋体"/>
          <w:b/>
          <w:bCs/>
          <w:sz w:val="28"/>
          <w:szCs w:val="28"/>
          <w:u w:val="single"/>
        </w:rPr>
        <w:t xml:space="preserve">      投标文件商务标</w:t>
      </w:r>
      <w:r>
        <w:rPr>
          <w:rFonts w:hint="eastAsia" w:ascii="宋体" w:hAnsi="宋体"/>
          <w:b/>
          <w:bCs/>
          <w:sz w:val="28"/>
          <w:szCs w:val="28"/>
          <w:u w:val="single"/>
        </w:rPr>
        <w:tab/>
      </w:r>
      <w:r>
        <w:rPr>
          <w:rFonts w:hint="eastAsia" w:ascii="宋体" w:hAnsi="宋体"/>
          <w:b/>
          <w:bCs/>
          <w:sz w:val="28"/>
          <w:szCs w:val="28"/>
          <w:u w:val="single"/>
        </w:rPr>
        <w:tab/>
      </w:r>
      <w:r>
        <w:rPr>
          <w:rFonts w:hint="eastAsia" w:ascii="宋体" w:hAnsi="宋体"/>
          <w:b/>
          <w:bCs/>
          <w:sz w:val="28"/>
          <w:szCs w:val="28"/>
          <w:u w:val="single"/>
        </w:rPr>
        <w:t xml:space="preserve">       </w:t>
      </w:r>
    </w:p>
    <w:p>
      <w:pPr>
        <w:pStyle w:val="19"/>
        <w:adjustRightInd w:val="0"/>
        <w:snapToGrid w:val="0"/>
        <w:spacing w:after="120" w:afterLines="50" w:line="460" w:lineRule="exact"/>
        <w:ind w:left="1050" w:leftChars="500" w:firstLine="0" w:firstLineChars="0"/>
        <w:rPr>
          <w:rFonts w:ascii="宋体" w:hAnsi="宋体"/>
          <w:b/>
          <w:bCs/>
          <w:sz w:val="28"/>
          <w:szCs w:val="28"/>
          <w:u w:val="single"/>
        </w:rPr>
      </w:pPr>
      <w:r>
        <w:rPr>
          <w:rFonts w:hint="eastAsia" w:ascii="宋体" w:hAnsi="宋体"/>
          <w:b/>
          <w:bCs/>
          <w:sz w:val="28"/>
          <w:szCs w:val="28"/>
        </w:rPr>
        <w:t>投 标 人：</w:t>
      </w:r>
      <w:r>
        <w:rPr>
          <w:rFonts w:hint="eastAsia" w:ascii="宋体" w:hAnsi="宋体"/>
          <w:b/>
          <w:bCs/>
          <w:sz w:val="28"/>
          <w:szCs w:val="28"/>
          <w:u w:val="single"/>
        </w:rPr>
        <w:t xml:space="preserve">                （盖公章）              </w:t>
      </w:r>
    </w:p>
    <w:p>
      <w:pPr>
        <w:adjustRightInd w:val="0"/>
        <w:snapToGrid w:val="0"/>
        <w:spacing w:after="120" w:afterLines="50" w:line="460" w:lineRule="exact"/>
        <w:rPr>
          <w:rFonts w:ascii="宋体" w:hAnsi="宋体"/>
          <w:b/>
          <w:sz w:val="28"/>
          <w:szCs w:val="28"/>
        </w:rPr>
      </w:pPr>
    </w:p>
    <w:p>
      <w:pPr>
        <w:adjustRightInd w:val="0"/>
        <w:snapToGrid w:val="0"/>
        <w:spacing w:after="120" w:afterLines="50" w:line="460" w:lineRule="exact"/>
        <w:jc w:val="center"/>
        <w:rPr>
          <w:rFonts w:ascii="宋体" w:hAnsi="宋体"/>
          <w:b/>
          <w:sz w:val="28"/>
          <w:szCs w:val="28"/>
        </w:rPr>
      </w:pPr>
      <w:r>
        <w:rPr>
          <w:rFonts w:hint="eastAsia" w:ascii="宋体" w:hAnsi="宋体"/>
          <w:b/>
          <w:sz w:val="28"/>
          <w:szCs w:val="28"/>
        </w:rPr>
        <w:t>日  期：</w:t>
      </w:r>
      <w:r>
        <w:rPr>
          <w:rFonts w:hint="eastAsia" w:ascii="宋体" w:hAnsi="宋体"/>
          <w:b/>
          <w:sz w:val="28"/>
          <w:szCs w:val="28"/>
          <w:u w:val="single"/>
        </w:rPr>
        <w:t xml:space="preserve">      </w:t>
      </w:r>
      <w:r>
        <w:rPr>
          <w:rFonts w:hint="eastAsia" w:ascii="宋体" w:hAnsi="宋体"/>
          <w:b/>
          <w:sz w:val="28"/>
          <w:szCs w:val="28"/>
        </w:rPr>
        <w:t xml:space="preserve"> 年</w:t>
      </w:r>
      <w:r>
        <w:rPr>
          <w:rFonts w:hint="eastAsia" w:ascii="宋体" w:hAnsi="宋体"/>
          <w:b/>
          <w:sz w:val="28"/>
          <w:szCs w:val="28"/>
          <w:u w:val="single"/>
        </w:rPr>
        <w:t xml:space="preserve">     </w:t>
      </w:r>
      <w:r>
        <w:rPr>
          <w:rFonts w:hint="eastAsia" w:ascii="宋体" w:hAnsi="宋体"/>
          <w:b/>
          <w:sz w:val="28"/>
          <w:szCs w:val="28"/>
        </w:rPr>
        <w:t xml:space="preserve"> 月</w:t>
      </w:r>
      <w:r>
        <w:rPr>
          <w:rFonts w:hint="eastAsia" w:ascii="宋体" w:hAnsi="宋体"/>
          <w:b/>
          <w:sz w:val="28"/>
          <w:szCs w:val="28"/>
          <w:u w:val="single"/>
        </w:rPr>
        <w:t xml:space="preserve">     </w:t>
      </w:r>
      <w:r>
        <w:rPr>
          <w:rFonts w:hint="eastAsia" w:ascii="宋体" w:hAnsi="宋体"/>
          <w:b/>
          <w:sz w:val="28"/>
          <w:szCs w:val="28"/>
        </w:rPr>
        <w:t>日</w:t>
      </w:r>
    </w:p>
    <w:p>
      <w:pPr>
        <w:pStyle w:val="73"/>
        <w:keepNext w:val="0"/>
        <w:keepLines w:val="0"/>
        <w:spacing w:line="460" w:lineRule="exact"/>
        <w:jc w:val="center"/>
        <w:outlineLvl w:val="9"/>
        <w:rPr>
          <w:rFonts w:ascii="宋体" w:hAnsi="宋体" w:eastAsia="宋体"/>
        </w:rPr>
      </w:pPr>
      <w:bookmarkStart w:id="96" w:name="_Toc484070275"/>
    </w:p>
    <w:p>
      <w:pPr>
        <w:pStyle w:val="73"/>
        <w:keepNext w:val="0"/>
        <w:keepLines w:val="0"/>
        <w:spacing w:line="460" w:lineRule="exact"/>
        <w:jc w:val="center"/>
        <w:outlineLvl w:val="9"/>
        <w:rPr>
          <w:rFonts w:ascii="宋体" w:hAnsi="宋体" w:eastAsia="宋体"/>
        </w:rPr>
      </w:pPr>
      <w:r>
        <w:rPr>
          <w:rFonts w:ascii="宋体" w:hAnsi="宋体" w:eastAsia="宋体"/>
        </w:rPr>
        <w:t>1</w:t>
      </w:r>
      <w:r>
        <w:rPr>
          <w:rFonts w:hint="eastAsia" w:ascii="宋体" w:hAnsi="宋体" w:eastAsia="宋体"/>
        </w:rPr>
        <w:t>、 投标函</w:t>
      </w:r>
      <w:bookmarkEnd w:id="96"/>
      <w:r>
        <w:rPr>
          <w:rFonts w:ascii="宋体" w:hAnsi="宋体" w:eastAsia="宋体"/>
        </w:rPr>
        <w:t xml:space="preserve"> </w:t>
      </w:r>
    </w:p>
    <w:p>
      <w:pPr>
        <w:pStyle w:val="73"/>
        <w:keepNext w:val="0"/>
        <w:keepLines w:val="0"/>
        <w:spacing w:line="460" w:lineRule="exact"/>
        <w:jc w:val="center"/>
        <w:outlineLvl w:val="9"/>
        <w:rPr>
          <w:rFonts w:ascii="宋体" w:hAnsi="宋体" w:eastAsia="宋体"/>
        </w:rPr>
      </w:pPr>
      <w:bookmarkStart w:id="97" w:name="_Toc484070276"/>
      <w:r>
        <w:rPr>
          <w:rFonts w:hint="eastAsia" w:ascii="宋体" w:hAnsi="宋体" w:eastAsia="宋体"/>
        </w:rPr>
        <w:t>投</w:t>
      </w:r>
      <w:r>
        <w:rPr>
          <w:rFonts w:ascii="宋体" w:hAnsi="宋体" w:eastAsia="宋体"/>
        </w:rPr>
        <w:t xml:space="preserve"> </w:t>
      </w:r>
      <w:r>
        <w:rPr>
          <w:rFonts w:hint="eastAsia" w:ascii="宋体" w:hAnsi="宋体" w:eastAsia="宋体"/>
        </w:rPr>
        <w:t>标</w:t>
      </w:r>
      <w:r>
        <w:rPr>
          <w:rFonts w:ascii="宋体" w:hAnsi="宋体" w:eastAsia="宋体"/>
        </w:rPr>
        <w:t xml:space="preserve"> </w:t>
      </w:r>
      <w:r>
        <w:rPr>
          <w:rFonts w:hint="eastAsia" w:ascii="宋体" w:hAnsi="宋体" w:eastAsia="宋体"/>
        </w:rPr>
        <w:t>函</w:t>
      </w:r>
      <w:bookmarkEnd w:id="97"/>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 xml:space="preserve">（招标人名称） </w:t>
      </w:r>
    </w:p>
    <w:p>
      <w:pPr>
        <w:spacing w:line="360" w:lineRule="auto"/>
        <w:ind w:firstLine="484" w:firstLineChars="202"/>
        <w:rPr>
          <w:rFonts w:ascii="宋体" w:hAnsi="宋体"/>
          <w:sz w:val="24"/>
        </w:rPr>
      </w:pPr>
      <w:r>
        <w:rPr>
          <w:rFonts w:hint="eastAsia" w:ascii="宋体" w:hAnsi="宋体"/>
          <w:sz w:val="24"/>
        </w:rPr>
        <w:t>1．我方己仔细研究了</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招标文件的全部内容，经考察研究上述招标文件要求及其他招标资料后，愿意以人民币（大写）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）的投标总报价，</w:t>
      </w:r>
      <w:r>
        <w:rPr>
          <w:rFonts w:hint="eastAsia" w:ascii="宋体" w:hAnsi="宋体"/>
          <w:color w:val="0000FF"/>
          <w:sz w:val="24"/>
        </w:rPr>
        <w:t>供货及安装期限</w:t>
      </w:r>
      <w:r>
        <w:rPr>
          <w:rFonts w:hint="eastAsia" w:ascii="宋体" w:hAnsi="宋体"/>
          <w:sz w:val="24"/>
          <w:u w:val="single"/>
        </w:rPr>
        <w:t xml:space="preserve">     </w:t>
      </w:r>
      <w:r>
        <w:rPr>
          <w:rFonts w:hint="eastAsia" w:ascii="宋体" w:hAnsi="宋体"/>
          <w:sz w:val="24"/>
        </w:rPr>
        <w:t xml:space="preserve"> 天，按合同约定完成生产、装配、供货、及服务，质保期</w:t>
      </w:r>
      <w:r>
        <w:rPr>
          <w:rFonts w:hint="eastAsia" w:ascii="宋体" w:hAnsi="宋体"/>
          <w:sz w:val="24"/>
          <w:u w:val="single"/>
        </w:rPr>
        <w:t xml:space="preserve">     </w:t>
      </w:r>
      <w:r>
        <w:rPr>
          <w:rFonts w:hint="eastAsia" w:ascii="宋体" w:hAnsi="宋体"/>
          <w:sz w:val="24"/>
        </w:rPr>
        <w:t>个月。</w:t>
      </w:r>
    </w:p>
    <w:p>
      <w:pPr>
        <w:spacing w:line="360" w:lineRule="auto"/>
        <w:ind w:firstLine="480" w:firstLineChars="200"/>
        <w:rPr>
          <w:rFonts w:ascii="宋体" w:hAnsi="宋体"/>
          <w:sz w:val="24"/>
        </w:rPr>
      </w:pPr>
      <w:r>
        <w:rPr>
          <w:rFonts w:hint="eastAsia" w:ascii="宋体" w:hAnsi="宋体"/>
          <w:sz w:val="24"/>
        </w:rPr>
        <w:t>2．我方承诺在投标有效期内不修改、撤销投标文件。</w:t>
      </w:r>
    </w:p>
    <w:p>
      <w:pPr>
        <w:spacing w:line="360" w:lineRule="auto"/>
        <w:ind w:firstLine="480" w:firstLineChars="200"/>
        <w:rPr>
          <w:rFonts w:ascii="宋体" w:hAnsi="宋体"/>
          <w:sz w:val="24"/>
        </w:rPr>
      </w:pPr>
      <w:r>
        <w:rPr>
          <w:rFonts w:hint="eastAsia" w:ascii="宋体" w:hAnsi="宋体"/>
          <w:sz w:val="24"/>
        </w:rPr>
        <w:t>3. 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日提交投标保证金一份，金额为人民币（大写）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4．如我方中标：</w:t>
      </w:r>
    </w:p>
    <w:p>
      <w:pPr>
        <w:spacing w:line="360" w:lineRule="auto"/>
        <w:ind w:firstLine="480" w:firstLineChars="200"/>
        <w:rPr>
          <w:rFonts w:ascii="宋体" w:hAnsi="宋体"/>
          <w:sz w:val="24"/>
        </w:rPr>
      </w:pPr>
      <w:r>
        <w:rPr>
          <w:rFonts w:hint="eastAsia" w:ascii="宋体" w:hAnsi="宋体"/>
          <w:sz w:val="24"/>
        </w:rPr>
        <w:t>(l）我方承诺在收到中标通知书后，在招标文件规定的期限内与你方签订合同。</w:t>
      </w:r>
    </w:p>
    <w:p>
      <w:pPr>
        <w:spacing w:line="360" w:lineRule="auto"/>
        <w:ind w:firstLine="480" w:firstLineChars="200"/>
        <w:rPr>
          <w:rFonts w:ascii="宋体" w:hAnsi="宋体"/>
          <w:sz w:val="24"/>
        </w:rPr>
      </w:pPr>
      <w:r>
        <w:rPr>
          <w:rFonts w:hint="eastAsia" w:ascii="宋体" w:hAnsi="宋体"/>
          <w:sz w:val="24"/>
        </w:rPr>
        <w:t>(2）随同本投标函递交的开标一览表属于合同文件的组成部分。</w:t>
      </w:r>
    </w:p>
    <w:p>
      <w:pPr>
        <w:spacing w:line="360" w:lineRule="auto"/>
        <w:ind w:firstLine="480" w:firstLineChars="200"/>
        <w:rPr>
          <w:rFonts w:ascii="宋体" w:hAnsi="宋体"/>
          <w:sz w:val="24"/>
        </w:rPr>
      </w:pPr>
      <w:r>
        <w:rPr>
          <w:rFonts w:hint="eastAsia" w:ascii="宋体" w:hAnsi="宋体"/>
          <w:sz w:val="24"/>
        </w:rPr>
        <w:t>(3）我方承诺按照招标文件规定向你方递交履约担保。</w:t>
      </w:r>
    </w:p>
    <w:p>
      <w:pPr>
        <w:spacing w:line="360" w:lineRule="auto"/>
        <w:ind w:firstLine="480" w:firstLineChars="200"/>
        <w:rPr>
          <w:rFonts w:ascii="宋体" w:hAnsi="宋体"/>
          <w:sz w:val="24"/>
        </w:rPr>
      </w:pPr>
      <w:r>
        <w:rPr>
          <w:rFonts w:hint="eastAsia" w:ascii="宋体" w:hAnsi="宋体"/>
          <w:sz w:val="24"/>
        </w:rPr>
        <w:t>(4）我方承诺在合同约定的期限内完成供货、设计、施工、安装及服务。</w:t>
      </w:r>
    </w:p>
    <w:p>
      <w:pPr>
        <w:spacing w:line="360" w:lineRule="auto"/>
        <w:ind w:firstLine="480" w:firstLineChars="200"/>
        <w:rPr>
          <w:rFonts w:ascii="宋体" w:hAnsi="宋体"/>
          <w:sz w:val="24"/>
        </w:rPr>
      </w:pPr>
      <w:r>
        <w:rPr>
          <w:rFonts w:hint="eastAsia" w:ascii="宋体" w:hAnsi="宋体"/>
          <w:sz w:val="24"/>
        </w:rPr>
        <w:t>(5）我方承诺本投标函在招标文件规定的提交投标文件截止时间后，在招标文件规定的投标有效期期满前对我方具有约束力，且随时准备接受你方发出的中标通知书。</w:t>
      </w:r>
    </w:p>
    <w:p>
      <w:pPr>
        <w:spacing w:line="360" w:lineRule="auto"/>
        <w:ind w:firstLine="480" w:firstLineChars="200"/>
        <w:rPr>
          <w:rFonts w:ascii="宋体" w:hAnsi="宋体"/>
          <w:sz w:val="24"/>
        </w:rPr>
      </w:pPr>
      <w:r>
        <w:rPr>
          <w:rFonts w:hint="eastAsia" w:ascii="宋体" w:hAnsi="宋体"/>
          <w:sz w:val="24"/>
        </w:rPr>
        <w:t>5．我方在此声明，所递交的投标文件及有关资料内容完整、真实和准确，且不存在第一章“投标人须知”第1.4.3 条规定的任何一种情形。</w:t>
      </w:r>
    </w:p>
    <w:p>
      <w:pPr>
        <w:spacing w:line="360" w:lineRule="auto"/>
        <w:ind w:firstLine="480" w:firstLineChars="200"/>
        <w:rPr>
          <w:rFonts w:ascii="宋体" w:hAnsi="宋体"/>
          <w:sz w:val="24"/>
        </w:rPr>
      </w:pPr>
      <w:r>
        <w:rPr>
          <w:rFonts w:hint="eastAsia" w:ascii="宋体" w:hAnsi="宋体"/>
          <w:sz w:val="24"/>
        </w:rPr>
        <w:t xml:space="preserve">6. </w:t>
      </w:r>
      <w:r>
        <w:rPr>
          <w:rFonts w:hint="eastAsia" w:ascii="宋体" w:hAnsi="宋体"/>
          <w:sz w:val="24"/>
          <w:u w:val="single"/>
        </w:rPr>
        <w:t xml:space="preserve">                     </w:t>
      </w:r>
      <w:r>
        <w:rPr>
          <w:rFonts w:hint="eastAsia" w:ascii="宋体" w:hAnsi="宋体"/>
          <w:sz w:val="24"/>
        </w:rPr>
        <w:t>（其他补充说明）。</w:t>
      </w:r>
    </w:p>
    <w:p>
      <w:pPr>
        <w:spacing w:line="360" w:lineRule="auto"/>
        <w:rPr>
          <w:rFonts w:ascii="宋体" w:hAnsi="宋体"/>
          <w:sz w:val="24"/>
        </w:rPr>
      </w:pPr>
    </w:p>
    <w:p>
      <w:pPr>
        <w:spacing w:line="360" w:lineRule="auto"/>
        <w:ind w:firstLine="3600" w:firstLineChars="15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left="7551" w:leftChars="1710" w:hanging="3960" w:hangingChars="165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ind w:firstLine="3600" w:firstLineChars="1500"/>
        <w:rPr>
          <w:rFonts w:ascii="宋体" w:hAnsi="宋体"/>
          <w:sz w:val="24"/>
        </w:rPr>
      </w:pPr>
      <w:r>
        <w:rPr>
          <w:rFonts w:hint="eastAsia" w:ascii="宋体" w:hAnsi="宋体"/>
          <w:sz w:val="24"/>
        </w:rPr>
        <w:t>地址：</w:t>
      </w:r>
      <w:r>
        <w:rPr>
          <w:rFonts w:hint="eastAsia" w:ascii="宋体" w:hAnsi="宋体"/>
          <w:sz w:val="24"/>
          <w:u w:val="single"/>
        </w:rPr>
        <w:t xml:space="preserve">                                 </w:t>
      </w:r>
    </w:p>
    <w:p>
      <w:pPr>
        <w:spacing w:line="360" w:lineRule="auto"/>
        <w:ind w:firstLine="3600" w:firstLineChars="1500"/>
        <w:rPr>
          <w:rFonts w:ascii="宋体" w:hAnsi="宋体"/>
          <w:sz w:val="24"/>
        </w:rPr>
      </w:pPr>
      <w:r>
        <w:rPr>
          <w:rFonts w:hint="eastAsia" w:ascii="宋体" w:hAnsi="宋体"/>
          <w:sz w:val="24"/>
        </w:rPr>
        <w:t>电话：</w:t>
      </w:r>
      <w:r>
        <w:rPr>
          <w:rFonts w:hint="eastAsia" w:ascii="宋体" w:hAnsi="宋体"/>
          <w:sz w:val="24"/>
          <w:u w:val="single"/>
        </w:rPr>
        <w:t xml:space="preserve">                                 </w:t>
      </w:r>
    </w:p>
    <w:p>
      <w:pPr>
        <w:spacing w:line="360" w:lineRule="auto"/>
        <w:ind w:firstLine="3600" w:firstLineChars="1500"/>
        <w:rPr>
          <w:rFonts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6000" w:firstLineChars="25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bookmarkEnd w:id="93"/>
    <w:bookmarkEnd w:id="94"/>
    <w:bookmarkEnd w:id="95"/>
    <w:p>
      <w:pPr>
        <w:jc w:val="center"/>
        <w:rPr>
          <w:rFonts w:ascii="宋体" w:hAnsi="宋体"/>
          <w:b/>
          <w:bCs/>
          <w:sz w:val="28"/>
          <w:szCs w:val="28"/>
        </w:rPr>
      </w:pPr>
      <w:bookmarkStart w:id="98" w:name="_Toc356993557"/>
      <w:bookmarkStart w:id="99" w:name="_Toc484070277"/>
      <w:bookmarkStart w:id="100" w:name="_Toc178044906"/>
      <w:bookmarkStart w:id="101" w:name="_Toc180993040"/>
      <w:r>
        <w:rPr>
          <w:rFonts w:hint="eastAsia" w:ascii="宋体" w:hAnsi="宋体"/>
        </w:rPr>
        <w:br w:type="page"/>
      </w:r>
      <w:r>
        <w:rPr>
          <w:rFonts w:hint="eastAsia" w:ascii="宋体" w:hAnsi="宋体"/>
          <w:b/>
          <w:bCs/>
          <w:sz w:val="28"/>
          <w:szCs w:val="28"/>
        </w:rPr>
        <w:t>2、开标一览表</w:t>
      </w:r>
      <w:bookmarkEnd w:id="98"/>
      <w:bookmarkEnd w:id="99"/>
      <w:bookmarkEnd w:id="100"/>
      <w:bookmarkEnd w:id="101"/>
    </w:p>
    <w:p>
      <w:pPr>
        <w:spacing w:line="460" w:lineRule="exact"/>
        <w:rPr>
          <w:rFonts w:ascii="宋体" w:hAnsi="宋体"/>
          <w:sz w:val="24"/>
        </w:rPr>
      </w:pPr>
      <w:r>
        <w:rPr>
          <w:rFonts w:hint="eastAsia" w:ascii="宋体" w:hAnsi="宋体"/>
          <w:sz w:val="24"/>
        </w:rPr>
        <w:t xml:space="preserve">货物名称：                                    </w:t>
      </w:r>
      <w:r>
        <w:rPr>
          <w:rFonts w:ascii="宋体" w:hAnsi="宋体"/>
          <w:sz w:val="24"/>
        </w:rPr>
        <w:t xml:space="preserve">招标编号：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tbl>
      <w:tblPr>
        <w:tblStyle w:val="39"/>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696"/>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855" w:type="dxa"/>
            <w:vAlign w:val="center"/>
          </w:tcPr>
          <w:p>
            <w:pPr>
              <w:spacing w:line="460" w:lineRule="exact"/>
              <w:jc w:val="center"/>
              <w:rPr>
                <w:rFonts w:ascii="宋体" w:hAnsi="宋体"/>
                <w:sz w:val="24"/>
              </w:rPr>
            </w:pPr>
            <w:r>
              <w:rPr>
                <w:rFonts w:hint="eastAsia" w:ascii="宋体" w:hAnsi="宋体"/>
                <w:sz w:val="24"/>
              </w:rPr>
              <w:t>1</w:t>
            </w:r>
          </w:p>
        </w:tc>
        <w:tc>
          <w:tcPr>
            <w:tcW w:w="3696" w:type="dxa"/>
            <w:vAlign w:val="center"/>
          </w:tcPr>
          <w:p>
            <w:pPr>
              <w:spacing w:line="460" w:lineRule="exact"/>
              <w:jc w:val="center"/>
              <w:rPr>
                <w:rFonts w:ascii="宋体" w:hAnsi="宋体"/>
                <w:sz w:val="24"/>
              </w:rPr>
            </w:pPr>
            <w:r>
              <w:rPr>
                <w:rFonts w:hint="eastAsia" w:ascii="宋体" w:hAnsi="宋体"/>
                <w:sz w:val="24"/>
              </w:rPr>
              <w:t>投标总报价（元）</w:t>
            </w:r>
          </w:p>
        </w:tc>
        <w:tc>
          <w:tcPr>
            <w:tcW w:w="3828" w:type="dxa"/>
            <w:vAlign w:val="center"/>
          </w:tcPr>
          <w:p>
            <w:pPr>
              <w:spacing w:line="460" w:lineRule="exact"/>
              <w:rPr>
                <w:rFonts w:ascii="宋体" w:hAnsi="宋体"/>
                <w:sz w:val="24"/>
                <w:u w:val="single"/>
              </w:rPr>
            </w:pPr>
            <w:r>
              <w:rPr>
                <w:rFonts w:hint="eastAsia" w:ascii="宋体" w:hAnsi="宋体"/>
                <w:sz w:val="24"/>
              </w:rPr>
              <w:t>大写：人民币</w:t>
            </w:r>
            <w:r>
              <w:rPr>
                <w:rFonts w:hint="eastAsia" w:ascii="宋体" w:hAnsi="宋体"/>
                <w:sz w:val="24"/>
                <w:u w:val="single"/>
              </w:rPr>
              <w:t xml:space="preserve">                 </w:t>
            </w:r>
          </w:p>
          <w:p>
            <w:pPr>
              <w:spacing w:line="460" w:lineRule="exact"/>
              <w:rPr>
                <w:rFonts w:ascii="宋体" w:hAnsi="宋体"/>
                <w:sz w:val="24"/>
                <w:u w:val="single"/>
              </w:rPr>
            </w:pPr>
            <w:r>
              <w:rPr>
                <w:rFonts w:hint="eastAsia" w:ascii="宋体" w:hAnsi="宋体"/>
                <w:sz w:val="24"/>
              </w:rPr>
              <w:t>小写：¥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5" w:type="dxa"/>
            <w:vAlign w:val="center"/>
          </w:tcPr>
          <w:p>
            <w:pPr>
              <w:widowControl/>
              <w:spacing w:line="460" w:lineRule="exact"/>
              <w:jc w:val="center"/>
              <w:rPr>
                <w:rFonts w:ascii="宋体" w:hAnsi="宋体"/>
                <w:sz w:val="24"/>
              </w:rPr>
            </w:pPr>
            <w:r>
              <w:rPr>
                <w:rFonts w:hint="eastAsia" w:ascii="宋体" w:hAnsi="宋体"/>
                <w:sz w:val="24"/>
              </w:rPr>
              <w:t>2</w:t>
            </w:r>
          </w:p>
        </w:tc>
        <w:tc>
          <w:tcPr>
            <w:tcW w:w="3696" w:type="dxa"/>
            <w:vAlign w:val="center"/>
          </w:tcPr>
          <w:p>
            <w:pPr>
              <w:widowControl/>
              <w:spacing w:line="460" w:lineRule="exact"/>
              <w:jc w:val="center"/>
              <w:rPr>
                <w:rFonts w:ascii="宋体" w:hAnsi="宋体"/>
                <w:sz w:val="24"/>
              </w:rPr>
            </w:pPr>
            <w:r>
              <w:rPr>
                <w:rFonts w:hint="eastAsia" w:ascii="宋体" w:hAnsi="宋体"/>
                <w:sz w:val="24"/>
              </w:rPr>
              <w:t>供货及安装期（天）</w:t>
            </w:r>
          </w:p>
        </w:tc>
        <w:tc>
          <w:tcPr>
            <w:tcW w:w="3828" w:type="dxa"/>
            <w:vAlign w:val="center"/>
          </w:tcPr>
          <w:p>
            <w:pPr>
              <w:widowControl/>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5" w:type="dxa"/>
            <w:vAlign w:val="center"/>
          </w:tcPr>
          <w:p>
            <w:pPr>
              <w:widowControl/>
              <w:spacing w:line="460" w:lineRule="exact"/>
              <w:jc w:val="center"/>
              <w:rPr>
                <w:rFonts w:ascii="宋体" w:hAnsi="宋体"/>
                <w:sz w:val="24"/>
              </w:rPr>
            </w:pPr>
            <w:r>
              <w:rPr>
                <w:rFonts w:hint="eastAsia" w:ascii="宋体" w:hAnsi="宋体"/>
                <w:sz w:val="24"/>
              </w:rPr>
              <w:t>3</w:t>
            </w:r>
          </w:p>
        </w:tc>
        <w:tc>
          <w:tcPr>
            <w:tcW w:w="3696" w:type="dxa"/>
            <w:vAlign w:val="center"/>
          </w:tcPr>
          <w:p>
            <w:pPr>
              <w:widowControl/>
              <w:spacing w:line="460" w:lineRule="exact"/>
              <w:jc w:val="center"/>
              <w:rPr>
                <w:rFonts w:ascii="宋体" w:hAnsi="宋体"/>
                <w:sz w:val="24"/>
              </w:rPr>
            </w:pPr>
            <w:r>
              <w:rPr>
                <w:rFonts w:hint="eastAsia" w:ascii="宋体" w:hAnsi="宋体"/>
                <w:sz w:val="24"/>
              </w:rPr>
              <w:t>质保期（年）</w:t>
            </w:r>
          </w:p>
        </w:tc>
        <w:tc>
          <w:tcPr>
            <w:tcW w:w="3828" w:type="dxa"/>
            <w:vAlign w:val="center"/>
          </w:tcPr>
          <w:p>
            <w:pPr>
              <w:widowControl/>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5" w:type="dxa"/>
            <w:vAlign w:val="center"/>
          </w:tcPr>
          <w:p>
            <w:pPr>
              <w:widowControl/>
              <w:spacing w:line="460" w:lineRule="exact"/>
              <w:jc w:val="center"/>
              <w:rPr>
                <w:rFonts w:ascii="宋体" w:hAnsi="宋体"/>
                <w:sz w:val="24"/>
              </w:rPr>
            </w:pPr>
            <w:r>
              <w:rPr>
                <w:rFonts w:hint="eastAsia" w:ascii="宋体" w:hAnsi="宋体"/>
                <w:sz w:val="24"/>
              </w:rPr>
              <w:t>4</w:t>
            </w:r>
          </w:p>
        </w:tc>
        <w:tc>
          <w:tcPr>
            <w:tcW w:w="3696" w:type="dxa"/>
            <w:vAlign w:val="center"/>
          </w:tcPr>
          <w:p>
            <w:pPr>
              <w:widowControl/>
              <w:spacing w:line="460" w:lineRule="exact"/>
              <w:jc w:val="center"/>
              <w:rPr>
                <w:rFonts w:ascii="宋体" w:hAnsi="宋体"/>
                <w:sz w:val="24"/>
              </w:rPr>
            </w:pPr>
            <w:r>
              <w:rPr>
                <w:rFonts w:hint="eastAsia" w:ascii="宋体" w:hAnsi="宋体"/>
                <w:sz w:val="24"/>
              </w:rPr>
              <w:t>优惠条件（非价格）</w:t>
            </w:r>
          </w:p>
        </w:tc>
        <w:tc>
          <w:tcPr>
            <w:tcW w:w="3828" w:type="dxa"/>
            <w:vAlign w:val="center"/>
          </w:tcPr>
          <w:p>
            <w:pPr>
              <w:widowControl/>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5" w:type="dxa"/>
            <w:vAlign w:val="center"/>
          </w:tcPr>
          <w:p>
            <w:pPr>
              <w:widowControl/>
              <w:spacing w:line="460" w:lineRule="exact"/>
              <w:jc w:val="center"/>
              <w:rPr>
                <w:rFonts w:ascii="宋体" w:hAnsi="宋体"/>
                <w:sz w:val="24"/>
              </w:rPr>
            </w:pPr>
            <w:r>
              <w:rPr>
                <w:rFonts w:hint="eastAsia" w:ascii="宋体" w:hAnsi="宋体"/>
                <w:sz w:val="24"/>
              </w:rPr>
              <w:t>5</w:t>
            </w:r>
          </w:p>
        </w:tc>
        <w:tc>
          <w:tcPr>
            <w:tcW w:w="3696" w:type="dxa"/>
            <w:vAlign w:val="center"/>
          </w:tcPr>
          <w:p>
            <w:pPr>
              <w:widowControl/>
              <w:spacing w:line="460" w:lineRule="exact"/>
              <w:jc w:val="center"/>
              <w:rPr>
                <w:rFonts w:ascii="宋体" w:hAnsi="宋体"/>
                <w:sz w:val="24"/>
              </w:rPr>
            </w:pPr>
            <w:r>
              <w:rPr>
                <w:rFonts w:hint="eastAsia" w:ascii="宋体" w:hAnsi="宋体"/>
                <w:sz w:val="24"/>
              </w:rPr>
              <w:t>备注</w:t>
            </w:r>
          </w:p>
        </w:tc>
        <w:tc>
          <w:tcPr>
            <w:tcW w:w="3828" w:type="dxa"/>
            <w:vAlign w:val="center"/>
          </w:tcPr>
          <w:p>
            <w:pPr>
              <w:widowControl/>
              <w:spacing w:line="460" w:lineRule="exact"/>
              <w:jc w:val="center"/>
              <w:rPr>
                <w:rFonts w:ascii="宋体" w:hAnsi="宋体"/>
                <w:sz w:val="24"/>
              </w:rPr>
            </w:pPr>
          </w:p>
        </w:tc>
      </w:tr>
    </w:tbl>
    <w:p>
      <w:pPr>
        <w:spacing w:line="460" w:lineRule="exact"/>
        <w:ind w:firstLine="240" w:firstLineChars="100"/>
        <w:rPr>
          <w:rFonts w:ascii="宋体" w:hAnsi="宋体" w:cs="Arial"/>
          <w:sz w:val="24"/>
        </w:rPr>
      </w:pPr>
    </w:p>
    <w:p>
      <w:pPr>
        <w:spacing w:line="460" w:lineRule="exact"/>
        <w:ind w:firstLine="240" w:firstLineChars="100"/>
        <w:rPr>
          <w:rFonts w:ascii="宋体" w:hAnsi="宋体" w:cs="Arial"/>
          <w:sz w:val="24"/>
        </w:rPr>
      </w:pPr>
      <w:r>
        <w:rPr>
          <w:rFonts w:hint="eastAsia" w:ascii="宋体" w:hAnsi="宋体" w:cs="Arial"/>
          <w:sz w:val="24"/>
        </w:rPr>
        <w:t>投标人 (公章) ：                法定代表人或其委托代理人(签字或盖章)：</w:t>
      </w:r>
    </w:p>
    <w:p>
      <w:pPr>
        <w:spacing w:line="460" w:lineRule="exact"/>
        <w:rPr>
          <w:rFonts w:ascii="宋体" w:hAnsi="宋体" w:cs="Arial"/>
          <w:sz w:val="24"/>
        </w:rPr>
      </w:pPr>
    </w:p>
    <w:p>
      <w:pPr>
        <w:spacing w:line="460" w:lineRule="exact"/>
        <w:ind w:firstLine="4080" w:firstLineChars="1700"/>
        <w:rPr>
          <w:rFonts w:ascii="宋体" w:hAnsi="宋体" w:cs="Arial"/>
          <w:sz w:val="24"/>
        </w:rPr>
      </w:pPr>
      <w:r>
        <w:rPr>
          <w:rFonts w:hint="eastAsia" w:ascii="宋体" w:hAnsi="宋体" w:cs="Arial"/>
          <w:sz w:val="24"/>
        </w:rPr>
        <w:t>日期：    年    月    日</w:t>
      </w:r>
    </w:p>
    <w:p>
      <w:pPr>
        <w:spacing w:line="460" w:lineRule="exact"/>
        <w:ind w:firstLine="320" w:firstLineChars="100"/>
        <w:rPr>
          <w:rFonts w:ascii="宋体" w:hAnsi="宋体" w:cs="Arial"/>
          <w:sz w:val="32"/>
          <w:szCs w:val="32"/>
        </w:rPr>
        <w:sectPr>
          <w:headerReference r:id="rId7" w:type="default"/>
          <w:footerReference r:id="rId8" w:type="default"/>
          <w:pgSz w:w="11907" w:h="16840"/>
          <w:pgMar w:top="1440" w:right="987" w:bottom="1440" w:left="1797" w:header="851" w:footer="1304" w:gutter="0"/>
          <w:cols w:space="720" w:num="1"/>
          <w:docGrid w:linePitch="312" w:charSpace="0"/>
        </w:sectPr>
      </w:pPr>
    </w:p>
    <w:p>
      <w:pPr>
        <w:spacing w:line="460" w:lineRule="exact"/>
        <w:jc w:val="center"/>
        <w:rPr>
          <w:rFonts w:ascii="宋体" w:hAnsi="宋体" w:cs="宋体"/>
          <w:b/>
          <w:sz w:val="32"/>
          <w:szCs w:val="32"/>
        </w:rPr>
      </w:pPr>
      <w:r>
        <w:rPr>
          <w:rFonts w:hint="eastAsia" w:ascii="宋体" w:hAnsi="宋体" w:cs="Arial"/>
          <w:b/>
          <w:sz w:val="32"/>
          <w:szCs w:val="32"/>
        </w:rPr>
        <w:t>3、</w:t>
      </w:r>
      <w:bookmarkStart w:id="102" w:name="_Toc426736639"/>
      <w:r>
        <w:rPr>
          <w:rFonts w:hint="eastAsia" w:ascii="宋体" w:hAnsi="宋体" w:cs="宋体"/>
          <w:b/>
          <w:sz w:val="32"/>
          <w:szCs w:val="32"/>
        </w:rPr>
        <w:t>分项报价表</w:t>
      </w:r>
    </w:p>
    <w:p>
      <w:pPr>
        <w:spacing w:line="460" w:lineRule="exact"/>
        <w:jc w:val="center"/>
        <w:rPr>
          <w:rFonts w:ascii="宋体" w:hAnsi="宋体" w:cs="宋体"/>
          <w:b/>
          <w:sz w:val="24"/>
        </w:rPr>
      </w:pPr>
      <w:r>
        <w:rPr>
          <w:rFonts w:hint="eastAsia" w:ascii="宋体" w:hAnsi="宋体" w:cs="宋体"/>
          <w:b/>
          <w:sz w:val="24"/>
        </w:rPr>
        <w:t>3.1分项报价表</w:t>
      </w:r>
    </w:p>
    <w:p>
      <w:pPr>
        <w:widowControl/>
        <w:spacing w:line="333" w:lineRule="atLeast"/>
        <w:jc w:val="right"/>
        <w:rPr>
          <w:rFonts w:ascii="宋体" w:hAnsi="宋体" w:cs="宋体"/>
          <w:kern w:val="0"/>
          <w:szCs w:val="21"/>
        </w:rPr>
      </w:pPr>
      <w:r>
        <w:rPr>
          <w:rFonts w:hint="eastAsia" w:ascii="宋体" w:hAnsi="宋体" w:cs="宋体"/>
          <w:kern w:val="0"/>
          <w:position w:val="-4"/>
          <w:szCs w:val="21"/>
        </w:rPr>
        <w:t>招标</w:t>
      </w:r>
      <w:r>
        <w:rPr>
          <w:rFonts w:hint="eastAsia" w:ascii="宋体" w:hAnsi="宋体" w:cs="宋体"/>
          <w:spacing w:val="-1"/>
          <w:kern w:val="0"/>
          <w:position w:val="-4"/>
          <w:szCs w:val="21"/>
        </w:rPr>
        <w:t>编</w:t>
      </w:r>
      <w:r>
        <w:rPr>
          <w:rFonts w:hint="eastAsia" w:ascii="宋体" w:hAnsi="宋体" w:cs="宋体"/>
          <w:kern w:val="0"/>
          <w:position w:val="-4"/>
          <w:szCs w:val="21"/>
        </w:rPr>
        <w:t>号</w:t>
      </w:r>
      <w:r>
        <w:rPr>
          <w:rFonts w:hint="eastAsia" w:ascii="宋体" w:hAnsi="宋体" w:cs="宋体"/>
          <w:spacing w:val="-24"/>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kern w:val="0"/>
          <w:position w:val="-4"/>
          <w:szCs w:val="21"/>
        </w:rPr>
        <w:t>标段号</w:t>
      </w:r>
      <w:r>
        <w:rPr>
          <w:rFonts w:hint="eastAsia" w:ascii="宋体" w:hAnsi="宋体" w:cs="宋体"/>
          <w:spacing w:val="-25"/>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spacing w:val="-1"/>
          <w:kern w:val="0"/>
          <w:position w:val="-4"/>
          <w:szCs w:val="21"/>
        </w:rPr>
        <w:t>货</w:t>
      </w:r>
      <w:r>
        <w:rPr>
          <w:rFonts w:hint="eastAsia" w:ascii="宋体" w:hAnsi="宋体" w:cs="宋体"/>
          <w:kern w:val="0"/>
          <w:position w:val="-4"/>
          <w:szCs w:val="21"/>
        </w:rPr>
        <w:t>币单位</w:t>
      </w:r>
      <w:r>
        <w:rPr>
          <w:rFonts w:hint="eastAsia" w:ascii="宋体" w:hAnsi="宋体" w:cs="宋体"/>
          <w:spacing w:val="-24"/>
          <w:kern w:val="0"/>
          <w:position w:val="-4"/>
          <w:szCs w:val="21"/>
        </w:rPr>
        <w:t>：</w:t>
      </w:r>
      <w:r>
        <w:rPr>
          <w:rFonts w:hint="eastAsia" w:ascii="宋体" w:hAnsi="宋体" w:cs="宋体"/>
          <w:kern w:val="0"/>
          <w:position w:val="-4"/>
          <w:szCs w:val="21"/>
        </w:rPr>
        <w:t>元</w:t>
      </w:r>
    </w:p>
    <w:tbl>
      <w:tblPr>
        <w:tblStyle w:val="39"/>
        <w:tblW w:w="0" w:type="auto"/>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651"/>
        <w:gridCol w:w="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8"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1156"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货物名称</w:t>
            </w:r>
          </w:p>
        </w:tc>
        <w:tc>
          <w:tcPr>
            <w:tcW w:w="1124"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规格型号</w:t>
            </w:r>
          </w:p>
        </w:tc>
        <w:tc>
          <w:tcPr>
            <w:tcW w:w="567"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数量</w:t>
            </w:r>
          </w:p>
        </w:tc>
        <w:tc>
          <w:tcPr>
            <w:tcW w:w="567"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单位</w:t>
            </w:r>
          </w:p>
        </w:tc>
        <w:tc>
          <w:tcPr>
            <w:tcW w:w="5528" w:type="dxa"/>
            <w:gridSpan w:val="6"/>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单价</w:t>
            </w:r>
          </w:p>
        </w:tc>
        <w:tc>
          <w:tcPr>
            <w:tcW w:w="992"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合价</w:t>
            </w:r>
          </w:p>
        </w:tc>
        <w:tc>
          <w:tcPr>
            <w:tcW w:w="993"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制造商</w:t>
            </w:r>
          </w:p>
        </w:tc>
        <w:tc>
          <w:tcPr>
            <w:tcW w:w="851"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品牌</w:t>
            </w:r>
          </w:p>
        </w:tc>
        <w:tc>
          <w:tcPr>
            <w:tcW w:w="651"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产地</w:t>
            </w:r>
          </w:p>
        </w:tc>
        <w:tc>
          <w:tcPr>
            <w:tcW w:w="765"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发货地点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vAlign w:val="center"/>
          </w:tcPr>
          <w:p>
            <w:pPr>
              <w:widowControl/>
              <w:adjustRightInd w:val="0"/>
              <w:snapToGrid w:val="0"/>
              <w:jc w:val="center"/>
              <w:rPr>
                <w:rFonts w:ascii="宋体" w:hAnsi="宋体" w:cs="宋体"/>
                <w:kern w:val="0"/>
                <w:szCs w:val="21"/>
              </w:rPr>
            </w:pPr>
          </w:p>
        </w:tc>
        <w:tc>
          <w:tcPr>
            <w:tcW w:w="1156" w:type="dxa"/>
            <w:vMerge w:val="continue"/>
            <w:vAlign w:val="center"/>
          </w:tcPr>
          <w:p>
            <w:pPr>
              <w:widowControl/>
              <w:adjustRightInd w:val="0"/>
              <w:snapToGrid w:val="0"/>
              <w:jc w:val="center"/>
              <w:rPr>
                <w:rFonts w:ascii="宋体" w:hAnsi="宋体" w:cs="宋体"/>
                <w:kern w:val="0"/>
                <w:szCs w:val="21"/>
              </w:rPr>
            </w:pPr>
          </w:p>
        </w:tc>
        <w:tc>
          <w:tcPr>
            <w:tcW w:w="1124" w:type="dxa"/>
            <w:vMerge w:val="continue"/>
            <w:vAlign w:val="center"/>
          </w:tcPr>
          <w:p>
            <w:pPr>
              <w:widowControl/>
              <w:adjustRightInd w:val="0"/>
              <w:snapToGrid w:val="0"/>
              <w:jc w:val="center"/>
              <w:rPr>
                <w:rFonts w:ascii="宋体" w:hAnsi="宋体" w:cs="宋体"/>
                <w:kern w:val="0"/>
                <w:szCs w:val="21"/>
              </w:rPr>
            </w:pPr>
          </w:p>
        </w:tc>
        <w:tc>
          <w:tcPr>
            <w:tcW w:w="567" w:type="dxa"/>
            <w:vMerge w:val="continue"/>
            <w:vAlign w:val="center"/>
          </w:tcPr>
          <w:p>
            <w:pPr>
              <w:widowControl/>
              <w:adjustRightInd w:val="0"/>
              <w:snapToGrid w:val="0"/>
              <w:jc w:val="center"/>
              <w:rPr>
                <w:rFonts w:ascii="宋体" w:hAnsi="宋体" w:cs="宋体"/>
                <w:kern w:val="0"/>
                <w:szCs w:val="21"/>
              </w:rPr>
            </w:pPr>
          </w:p>
        </w:tc>
        <w:tc>
          <w:tcPr>
            <w:tcW w:w="567" w:type="dxa"/>
            <w:vMerge w:val="continue"/>
            <w:vAlign w:val="center"/>
          </w:tcPr>
          <w:p>
            <w:pPr>
              <w:widowControl/>
              <w:adjustRightInd w:val="0"/>
              <w:snapToGrid w:val="0"/>
              <w:jc w:val="center"/>
              <w:rPr>
                <w:rFonts w:ascii="宋体" w:hAnsi="宋体" w:cs="宋体"/>
                <w:kern w:val="0"/>
                <w:szCs w:val="21"/>
              </w:rPr>
            </w:pPr>
          </w:p>
        </w:tc>
        <w:tc>
          <w:tcPr>
            <w:tcW w:w="1134" w:type="dxa"/>
            <w:vAlign w:val="center"/>
          </w:tcPr>
          <w:p>
            <w:pPr>
              <w:jc w:val="center"/>
              <w:rPr>
                <w:rFonts w:ascii="宋体" w:hAnsi="宋体" w:cs="宋体"/>
                <w:szCs w:val="21"/>
              </w:rPr>
            </w:pPr>
            <w:r>
              <w:rPr>
                <w:rFonts w:hint="eastAsia" w:ascii="宋体" w:hAnsi="宋体" w:cs="宋体"/>
                <w:szCs w:val="21"/>
              </w:rPr>
              <w:t>主机及标准附件</w:t>
            </w:r>
          </w:p>
        </w:tc>
        <w:tc>
          <w:tcPr>
            <w:tcW w:w="1050" w:type="dxa"/>
            <w:vAlign w:val="center"/>
          </w:tcPr>
          <w:p>
            <w:pPr>
              <w:jc w:val="center"/>
              <w:rPr>
                <w:rFonts w:ascii="宋体" w:hAnsi="宋体" w:cs="宋体"/>
                <w:szCs w:val="21"/>
              </w:rPr>
            </w:pPr>
            <w:r>
              <w:rPr>
                <w:rFonts w:hint="eastAsia" w:ascii="宋体" w:hAnsi="宋体" w:cs="宋体"/>
                <w:szCs w:val="21"/>
              </w:rPr>
              <w:t>运输、保险、卸货</w:t>
            </w:r>
          </w:p>
        </w:tc>
        <w:tc>
          <w:tcPr>
            <w:tcW w:w="934" w:type="dxa"/>
            <w:vAlign w:val="center"/>
          </w:tcPr>
          <w:p>
            <w:pPr>
              <w:jc w:val="center"/>
              <w:rPr>
                <w:rFonts w:ascii="宋体" w:hAnsi="宋体" w:cs="宋体"/>
                <w:szCs w:val="21"/>
              </w:rPr>
            </w:pPr>
            <w:r>
              <w:rPr>
                <w:rFonts w:hint="eastAsia" w:ascii="宋体" w:hAnsi="宋体" w:cs="宋体"/>
                <w:szCs w:val="21"/>
              </w:rPr>
              <w:t>安装调试检验</w:t>
            </w:r>
          </w:p>
        </w:tc>
        <w:tc>
          <w:tcPr>
            <w:tcW w:w="1050" w:type="dxa"/>
            <w:vAlign w:val="center"/>
          </w:tcPr>
          <w:p>
            <w:pPr>
              <w:jc w:val="center"/>
              <w:rPr>
                <w:rFonts w:ascii="宋体" w:hAnsi="宋体" w:cs="宋体"/>
                <w:szCs w:val="21"/>
              </w:rPr>
            </w:pPr>
            <w:r>
              <w:rPr>
                <w:rFonts w:hint="eastAsia" w:ascii="宋体" w:hAnsi="宋体" w:cs="宋体"/>
                <w:szCs w:val="21"/>
              </w:rPr>
              <w:t>培训及</w:t>
            </w:r>
          </w:p>
          <w:p>
            <w:pPr>
              <w:jc w:val="center"/>
              <w:rPr>
                <w:rFonts w:ascii="宋体" w:hAnsi="宋体" w:cs="宋体"/>
                <w:szCs w:val="21"/>
              </w:rPr>
            </w:pPr>
            <w:r>
              <w:rPr>
                <w:rFonts w:hint="eastAsia" w:ascii="宋体" w:hAnsi="宋体" w:cs="宋体"/>
                <w:szCs w:val="21"/>
              </w:rPr>
              <w:t>技术服务</w:t>
            </w:r>
          </w:p>
        </w:tc>
        <w:tc>
          <w:tcPr>
            <w:tcW w:w="651" w:type="dxa"/>
            <w:vAlign w:val="center"/>
          </w:tcPr>
          <w:p>
            <w:pPr>
              <w:jc w:val="center"/>
              <w:rPr>
                <w:rFonts w:ascii="宋体" w:hAnsi="宋体" w:cs="宋体"/>
                <w:szCs w:val="21"/>
              </w:rPr>
            </w:pPr>
            <w:r>
              <w:rPr>
                <w:rFonts w:hint="eastAsia" w:ascii="宋体" w:hAnsi="宋体" w:cs="宋体"/>
                <w:szCs w:val="21"/>
              </w:rPr>
              <w:t>其他</w:t>
            </w:r>
          </w:p>
        </w:tc>
        <w:tc>
          <w:tcPr>
            <w:tcW w:w="709" w:type="dxa"/>
            <w:vAlign w:val="center"/>
          </w:tcPr>
          <w:p>
            <w:pPr>
              <w:widowControl/>
              <w:adjustRightInd w:val="0"/>
              <w:snapToGrid w:val="0"/>
              <w:jc w:val="center"/>
              <w:rPr>
                <w:rFonts w:ascii="宋体" w:hAnsi="宋体" w:cs="宋体"/>
                <w:kern w:val="0"/>
                <w:szCs w:val="21"/>
              </w:rPr>
            </w:pPr>
            <w:r>
              <w:rPr>
                <w:rFonts w:hint="eastAsia" w:ascii="宋体" w:hAnsi="宋体" w:cs="宋体"/>
                <w:szCs w:val="21"/>
              </w:rPr>
              <w:t>小计</w:t>
            </w:r>
          </w:p>
        </w:tc>
        <w:tc>
          <w:tcPr>
            <w:tcW w:w="992" w:type="dxa"/>
            <w:vAlign w:val="center"/>
          </w:tcPr>
          <w:p>
            <w:pPr>
              <w:widowControl/>
              <w:adjustRightInd w:val="0"/>
              <w:snapToGrid w:val="0"/>
              <w:jc w:val="center"/>
              <w:rPr>
                <w:rFonts w:ascii="宋体" w:hAnsi="宋体" w:cs="宋体"/>
                <w:kern w:val="0"/>
                <w:szCs w:val="21"/>
              </w:rPr>
            </w:pPr>
          </w:p>
        </w:tc>
        <w:tc>
          <w:tcPr>
            <w:tcW w:w="993" w:type="dxa"/>
            <w:vAlign w:val="center"/>
          </w:tcPr>
          <w:p>
            <w:pPr>
              <w:widowControl/>
              <w:adjustRightInd w:val="0"/>
              <w:snapToGrid w:val="0"/>
              <w:jc w:val="center"/>
              <w:rPr>
                <w:rFonts w:ascii="宋体" w:hAnsi="宋体" w:cs="宋体"/>
                <w:kern w:val="0"/>
                <w:szCs w:val="21"/>
              </w:rPr>
            </w:pPr>
          </w:p>
        </w:tc>
        <w:tc>
          <w:tcPr>
            <w:tcW w:w="851"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65" w:type="dxa"/>
            <w:vAlign w:val="center"/>
          </w:tcPr>
          <w:p>
            <w:pPr>
              <w:widowControl/>
              <w:adjustRightInd w:val="0"/>
              <w:snapToGrid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Align w:val="center"/>
          </w:tcPr>
          <w:p>
            <w:pPr>
              <w:widowControl/>
              <w:adjustRightInd w:val="0"/>
              <w:snapToGrid w:val="0"/>
              <w:jc w:val="center"/>
              <w:rPr>
                <w:rFonts w:ascii="宋体" w:hAnsi="宋体" w:cs="宋体"/>
                <w:kern w:val="0"/>
                <w:szCs w:val="21"/>
              </w:rPr>
            </w:pPr>
          </w:p>
        </w:tc>
        <w:tc>
          <w:tcPr>
            <w:tcW w:w="1156" w:type="dxa"/>
            <w:vAlign w:val="center"/>
          </w:tcPr>
          <w:p>
            <w:pPr>
              <w:jc w:val="center"/>
              <w:rPr>
                <w:rFonts w:ascii="宋体" w:hAnsi="宋体" w:cs="宋体"/>
                <w:szCs w:val="21"/>
              </w:rPr>
            </w:pPr>
          </w:p>
        </w:tc>
        <w:tc>
          <w:tcPr>
            <w:tcW w:w="1124" w:type="dxa"/>
            <w:vAlign w:val="center"/>
          </w:tcPr>
          <w:p>
            <w:pPr>
              <w:jc w:val="center"/>
              <w:rPr>
                <w:rFonts w:ascii="宋体" w:hAnsi="宋体" w:cs="宋体"/>
                <w:szCs w:val="21"/>
              </w:rPr>
            </w:pPr>
          </w:p>
        </w:tc>
        <w:tc>
          <w:tcPr>
            <w:tcW w:w="567" w:type="dxa"/>
            <w:vAlign w:val="center"/>
          </w:tcPr>
          <w:p>
            <w:pPr>
              <w:jc w:val="center"/>
              <w:rPr>
                <w:rFonts w:ascii="宋体" w:hAnsi="宋体" w:cs="宋体"/>
                <w:szCs w:val="21"/>
              </w:rPr>
            </w:pPr>
          </w:p>
        </w:tc>
        <w:tc>
          <w:tcPr>
            <w:tcW w:w="567" w:type="dxa"/>
            <w:vAlign w:val="center"/>
          </w:tcPr>
          <w:p>
            <w:pPr>
              <w:jc w:val="center"/>
              <w:rPr>
                <w:rFonts w:ascii="宋体" w:hAnsi="宋体" w:cs="宋体"/>
                <w:szCs w:val="21"/>
              </w:rPr>
            </w:pPr>
          </w:p>
        </w:tc>
        <w:tc>
          <w:tcPr>
            <w:tcW w:w="1134"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934"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651" w:type="dxa"/>
            <w:vAlign w:val="center"/>
          </w:tcPr>
          <w:p>
            <w:pPr>
              <w:jc w:val="center"/>
              <w:rPr>
                <w:rFonts w:ascii="宋体" w:hAnsi="宋体" w:cs="宋体"/>
                <w:szCs w:val="21"/>
              </w:rPr>
            </w:pPr>
          </w:p>
        </w:tc>
        <w:tc>
          <w:tcPr>
            <w:tcW w:w="709"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993"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651" w:type="dxa"/>
            <w:vAlign w:val="center"/>
          </w:tcPr>
          <w:p>
            <w:pPr>
              <w:widowControl/>
              <w:adjustRightInd w:val="0"/>
              <w:snapToGrid w:val="0"/>
              <w:jc w:val="center"/>
              <w:rPr>
                <w:rFonts w:ascii="宋体" w:hAnsi="宋体" w:cs="宋体"/>
                <w:kern w:val="0"/>
                <w:szCs w:val="21"/>
              </w:rPr>
            </w:pPr>
          </w:p>
        </w:tc>
        <w:tc>
          <w:tcPr>
            <w:tcW w:w="765" w:type="dxa"/>
            <w:vAlign w:val="center"/>
          </w:tcPr>
          <w:p>
            <w:pPr>
              <w:widowControl/>
              <w:adjustRightInd w:val="0"/>
              <w:snapToGrid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Align w:val="center"/>
          </w:tcPr>
          <w:p>
            <w:pPr>
              <w:widowControl/>
              <w:adjustRightInd w:val="0"/>
              <w:snapToGrid w:val="0"/>
              <w:jc w:val="center"/>
              <w:rPr>
                <w:rFonts w:ascii="宋体" w:hAnsi="宋体" w:cs="宋体"/>
                <w:kern w:val="0"/>
                <w:szCs w:val="21"/>
              </w:rPr>
            </w:pPr>
          </w:p>
        </w:tc>
        <w:tc>
          <w:tcPr>
            <w:tcW w:w="1156" w:type="dxa"/>
            <w:vAlign w:val="center"/>
          </w:tcPr>
          <w:p>
            <w:pPr>
              <w:widowControl/>
              <w:adjustRightInd w:val="0"/>
              <w:snapToGrid w:val="0"/>
              <w:jc w:val="center"/>
              <w:rPr>
                <w:rFonts w:ascii="宋体" w:hAnsi="宋体" w:cs="宋体"/>
                <w:kern w:val="0"/>
                <w:szCs w:val="21"/>
              </w:rPr>
            </w:pPr>
          </w:p>
        </w:tc>
        <w:tc>
          <w:tcPr>
            <w:tcW w:w="1124"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11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9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09" w:type="dxa"/>
            <w:vAlign w:val="center"/>
          </w:tcPr>
          <w:p>
            <w:pPr>
              <w:widowControl/>
              <w:adjustRightInd w:val="0"/>
              <w:snapToGrid w:val="0"/>
              <w:jc w:val="center"/>
              <w:rPr>
                <w:rFonts w:ascii="宋体" w:hAnsi="宋体" w:cs="宋体"/>
                <w:kern w:val="0"/>
                <w:szCs w:val="21"/>
              </w:rPr>
            </w:pPr>
          </w:p>
        </w:tc>
        <w:tc>
          <w:tcPr>
            <w:tcW w:w="992" w:type="dxa"/>
            <w:vAlign w:val="center"/>
          </w:tcPr>
          <w:p>
            <w:pPr>
              <w:widowControl/>
              <w:adjustRightInd w:val="0"/>
              <w:snapToGrid w:val="0"/>
              <w:jc w:val="center"/>
              <w:rPr>
                <w:rFonts w:ascii="宋体" w:hAnsi="宋体" w:cs="宋体"/>
                <w:kern w:val="0"/>
                <w:szCs w:val="21"/>
              </w:rPr>
            </w:pPr>
          </w:p>
        </w:tc>
        <w:tc>
          <w:tcPr>
            <w:tcW w:w="993" w:type="dxa"/>
            <w:vAlign w:val="center"/>
          </w:tcPr>
          <w:p>
            <w:pPr>
              <w:widowControl/>
              <w:adjustRightInd w:val="0"/>
              <w:snapToGrid w:val="0"/>
              <w:jc w:val="center"/>
              <w:rPr>
                <w:rFonts w:ascii="宋体" w:hAnsi="宋体" w:cs="宋体"/>
                <w:kern w:val="0"/>
                <w:szCs w:val="21"/>
              </w:rPr>
            </w:pPr>
          </w:p>
        </w:tc>
        <w:tc>
          <w:tcPr>
            <w:tcW w:w="851"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65" w:type="dxa"/>
            <w:vAlign w:val="center"/>
          </w:tcPr>
          <w:p>
            <w:pPr>
              <w:widowControl/>
              <w:adjustRightInd w:val="0"/>
              <w:snapToGrid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Align w:val="center"/>
          </w:tcPr>
          <w:p>
            <w:pPr>
              <w:widowControl/>
              <w:adjustRightInd w:val="0"/>
              <w:snapToGrid w:val="0"/>
              <w:jc w:val="center"/>
              <w:rPr>
                <w:rFonts w:ascii="宋体" w:hAnsi="宋体" w:cs="宋体"/>
                <w:kern w:val="0"/>
                <w:szCs w:val="21"/>
              </w:rPr>
            </w:pPr>
          </w:p>
        </w:tc>
        <w:tc>
          <w:tcPr>
            <w:tcW w:w="1156" w:type="dxa"/>
            <w:vAlign w:val="center"/>
          </w:tcPr>
          <w:p>
            <w:pPr>
              <w:widowControl/>
              <w:adjustRightInd w:val="0"/>
              <w:snapToGrid w:val="0"/>
              <w:jc w:val="center"/>
              <w:rPr>
                <w:rFonts w:ascii="宋体" w:hAnsi="宋体" w:cs="宋体"/>
                <w:kern w:val="0"/>
                <w:szCs w:val="21"/>
              </w:rPr>
            </w:pPr>
          </w:p>
        </w:tc>
        <w:tc>
          <w:tcPr>
            <w:tcW w:w="1124"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11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9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09" w:type="dxa"/>
            <w:vAlign w:val="center"/>
          </w:tcPr>
          <w:p>
            <w:pPr>
              <w:widowControl/>
              <w:adjustRightInd w:val="0"/>
              <w:snapToGrid w:val="0"/>
              <w:jc w:val="center"/>
              <w:rPr>
                <w:rFonts w:ascii="宋体" w:hAnsi="宋体" w:cs="宋体"/>
                <w:kern w:val="0"/>
                <w:szCs w:val="21"/>
              </w:rPr>
            </w:pPr>
          </w:p>
        </w:tc>
        <w:tc>
          <w:tcPr>
            <w:tcW w:w="992" w:type="dxa"/>
            <w:vAlign w:val="center"/>
          </w:tcPr>
          <w:p>
            <w:pPr>
              <w:widowControl/>
              <w:adjustRightInd w:val="0"/>
              <w:snapToGrid w:val="0"/>
              <w:jc w:val="center"/>
              <w:rPr>
                <w:rFonts w:ascii="宋体" w:hAnsi="宋体" w:cs="宋体"/>
                <w:kern w:val="0"/>
                <w:szCs w:val="21"/>
              </w:rPr>
            </w:pPr>
          </w:p>
        </w:tc>
        <w:tc>
          <w:tcPr>
            <w:tcW w:w="993" w:type="dxa"/>
            <w:vAlign w:val="center"/>
          </w:tcPr>
          <w:p>
            <w:pPr>
              <w:widowControl/>
              <w:adjustRightInd w:val="0"/>
              <w:snapToGrid w:val="0"/>
              <w:jc w:val="center"/>
              <w:rPr>
                <w:rFonts w:ascii="宋体" w:hAnsi="宋体" w:cs="宋体"/>
                <w:kern w:val="0"/>
                <w:szCs w:val="21"/>
              </w:rPr>
            </w:pPr>
          </w:p>
        </w:tc>
        <w:tc>
          <w:tcPr>
            <w:tcW w:w="851"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65" w:type="dxa"/>
            <w:vAlign w:val="center"/>
          </w:tcPr>
          <w:p>
            <w:pPr>
              <w:widowControl/>
              <w:adjustRightInd w:val="0"/>
              <w:snapToGrid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vAlign w:val="center"/>
          </w:tcPr>
          <w:p>
            <w:pPr>
              <w:widowControl/>
              <w:adjustRightInd w:val="0"/>
              <w:snapToGrid w:val="0"/>
              <w:jc w:val="center"/>
              <w:rPr>
                <w:rFonts w:ascii="宋体" w:hAnsi="宋体" w:cs="宋体"/>
                <w:kern w:val="0"/>
                <w:szCs w:val="21"/>
              </w:rPr>
            </w:pPr>
          </w:p>
        </w:tc>
        <w:tc>
          <w:tcPr>
            <w:tcW w:w="1156" w:type="dxa"/>
            <w:vAlign w:val="center"/>
          </w:tcPr>
          <w:p>
            <w:pPr>
              <w:widowControl/>
              <w:adjustRightInd w:val="0"/>
              <w:snapToGrid w:val="0"/>
              <w:jc w:val="center"/>
              <w:rPr>
                <w:rFonts w:ascii="宋体" w:hAnsi="宋体" w:cs="宋体"/>
                <w:kern w:val="0"/>
                <w:szCs w:val="21"/>
              </w:rPr>
            </w:pPr>
          </w:p>
        </w:tc>
        <w:tc>
          <w:tcPr>
            <w:tcW w:w="1124"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11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9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09" w:type="dxa"/>
            <w:vAlign w:val="center"/>
          </w:tcPr>
          <w:p>
            <w:pPr>
              <w:widowControl/>
              <w:adjustRightInd w:val="0"/>
              <w:snapToGrid w:val="0"/>
              <w:jc w:val="center"/>
              <w:rPr>
                <w:rFonts w:ascii="宋体" w:hAnsi="宋体" w:cs="宋体"/>
                <w:kern w:val="0"/>
                <w:szCs w:val="21"/>
              </w:rPr>
            </w:pPr>
          </w:p>
        </w:tc>
        <w:tc>
          <w:tcPr>
            <w:tcW w:w="992" w:type="dxa"/>
            <w:vAlign w:val="center"/>
          </w:tcPr>
          <w:p>
            <w:pPr>
              <w:widowControl/>
              <w:adjustRightInd w:val="0"/>
              <w:snapToGrid w:val="0"/>
              <w:jc w:val="center"/>
              <w:rPr>
                <w:rFonts w:ascii="宋体" w:hAnsi="宋体" w:cs="宋体"/>
                <w:kern w:val="0"/>
                <w:szCs w:val="21"/>
              </w:rPr>
            </w:pPr>
          </w:p>
        </w:tc>
        <w:tc>
          <w:tcPr>
            <w:tcW w:w="993" w:type="dxa"/>
            <w:vAlign w:val="center"/>
          </w:tcPr>
          <w:p>
            <w:pPr>
              <w:widowControl/>
              <w:adjustRightInd w:val="0"/>
              <w:snapToGrid w:val="0"/>
              <w:jc w:val="center"/>
              <w:rPr>
                <w:rFonts w:ascii="宋体" w:hAnsi="宋体" w:cs="宋体"/>
                <w:kern w:val="0"/>
                <w:szCs w:val="21"/>
              </w:rPr>
            </w:pPr>
          </w:p>
        </w:tc>
        <w:tc>
          <w:tcPr>
            <w:tcW w:w="851"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65" w:type="dxa"/>
            <w:vAlign w:val="center"/>
          </w:tcPr>
          <w:p>
            <w:pPr>
              <w:widowControl/>
              <w:adjustRightInd w:val="0"/>
              <w:snapToGrid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Align w:val="center"/>
          </w:tcPr>
          <w:p>
            <w:pPr>
              <w:widowControl/>
              <w:adjustRightInd w:val="0"/>
              <w:snapToGrid w:val="0"/>
              <w:jc w:val="center"/>
              <w:rPr>
                <w:rFonts w:ascii="宋体" w:hAnsi="宋体" w:cs="宋体"/>
                <w:kern w:val="0"/>
                <w:szCs w:val="21"/>
              </w:rPr>
            </w:pPr>
          </w:p>
        </w:tc>
        <w:tc>
          <w:tcPr>
            <w:tcW w:w="1156" w:type="dxa"/>
            <w:vAlign w:val="center"/>
          </w:tcPr>
          <w:p>
            <w:pPr>
              <w:widowControl/>
              <w:adjustRightInd w:val="0"/>
              <w:snapToGrid w:val="0"/>
              <w:jc w:val="center"/>
              <w:rPr>
                <w:rFonts w:ascii="宋体" w:hAnsi="宋体" w:cs="宋体"/>
                <w:kern w:val="0"/>
                <w:szCs w:val="21"/>
              </w:rPr>
            </w:pPr>
          </w:p>
        </w:tc>
        <w:tc>
          <w:tcPr>
            <w:tcW w:w="1124"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567" w:type="dxa"/>
            <w:vAlign w:val="center"/>
          </w:tcPr>
          <w:p>
            <w:pPr>
              <w:widowControl/>
              <w:adjustRightInd w:val="0"/>
              <w:snapToGrid w:val="0"/>
              <w:jc w:val="center"/>
              <w:rPr>
                <w:rFonts w:ascii="宋体" w:hAnsi="宋体" w:cs="宋体"/>
                <w:kern w:val="0"/>
                <w:szCs w:val="21"/>
              </w:rPr>
            </w:pPr>
          </w:p>
        </w:tc>
        <w:tc>
          <w:tcPr>
            <w:tcW w:w="11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9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09" w:type="dxa"/>
            <w:vAlign w:val="center"/>
          </w:tcPr>
          <w:p>
            <w:pPr>
              <w:widowControl/>
              <w:adjustRightInd w:val="0"/>
              <w:snapToGrid w:val="0"/>
              <w:jc w:val="center"/>
              <w:rPr>
                <w:rFonts w:ascii="宋体" w:hAnsi="宋体" w:cs="宋体"/>
                <w:kern w:val="0"/>
                <w:szCs w:val="21"/>
              </w:rPr>
            </w:pPr>
          </w:p>
        </w:tc>
        <w:tc>
          <w:tcPr>
            <w:tcW w:w="992" w:type="dxa"/>
            <w:vAlign w:val="center"/>
          </w:tcPr>
          <w:p>
            <w:pPr>
              <w:widowControl/>
              <w:adjustRightInd w:val="0"/>
              <w:snapToGrid w:val="0"/>
              <w:jc w:val="center"/>
              <w:rPr>
                <w:rFonts w:ascii="宋体" w:hAnsi="宋体" w:cs="宋体"/>
                <w:kern w:val="0"/>
                <w:szCs w:val="21"/>
              </w:rPr>
            </w:pPr>
          </w:p>
        </w:tc>
        <w:tc>
          <w:tcPr>
            <w:tcW w:w="993" w:type="dxa"/>
            <w:vAlign w:val="center"/>
          </w:tcPr>
          <w:p>
            <w:pPr>
              <w:widowControl/>
              <w:adjustRightInd w:val="0"/>
              <w:snapToGrid w:val="0"/>
              <w:jc w:val="center"/>
              <w:rPr>
                <w:rFonts w:ascii="宋体" w:hAnsi="宋体" w:cs="宋体"/>
                <w:kern w:val="0"/>
                <w:szCs w:val="21"/>
              </w:rPr>
            </w:pPr>
          </w:p>
        </w:tc>
        <w:tc>
          <w:tcPr>
            <w:tcW w:w="851"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65" w:type="dxa"/>
            <w:vAlign w:val="center"/>
          </w:tcPr>
          <w:p>
            <w:pPr>
              <w:widowControl/>
              <w:adjustRightInd w:val="0"/>
              <w:snapToGrid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286" w:type="dxa"/>
            <w:gridSpan w:val="6"/>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合计</w:t>
            </w:r>
          </w:p>
        </w:tc>
        <w:tc>
          <w:tcPr>
            <w:tcW w:w="1050" w:type="dxa"/>
            <w:vAlign w:val="center"/>
          </w:tcPr>
          <w:p>
            <w:pPr>
              <w:widowControl/>
              <w:adjustRightInd w:val="0"/>
              <w:snapToGrid w:val="0"/>
              <w:jc w:val="center"/>
              <w:rPr>
                <w:rFonts w:ascii="宋体" w:hAnsi="宋体" w:cs="宋体"/>
                <w:kern w:val="0"/>
                <w:szCs w:val="21"/>
              </w:rPr>
            </w:pPr>
          </w:p>
        </w:tc>
        <w:tc>
          <w:tcPr>
            <w:tcW w:w="934" w:type="dxa"/>
            <w:vAlign w:val="center"/>
          </w:tcPr>
          <w:p>
            <w:pPr>
              <w:widowControl/>
              <w:adjustRightInd w:val="0"/>
              <w:snapToGrid w:val="0"/>
              <w:jc w:val="center"/>
              <w:rPr>
                <w:rFonts w:ascii="宋体" w:hAnsi="宋体" w:cs="宋体"/>
                <w:kern w:val="0"/>
                <w:szCs w:val="21"/>
              </w:rPr>
            </w:pPr>
          </w:p>
        </w:tc>
        <w:tc>
          <w:tcPr>
            <w:tcW w:w="1050"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09" w:type="dxa"/>
            <w:vAlign w:val="center"/>
          </w:tcPr>
          <w:p>
            <w:pPr>
              <w:widowControl/>
              <w:adjustRightInd w:val="0"/>
              <w:snapToGrid w:val="0"/>
              <w:jc w:val="center"/>
              <w:rPr>
                <w:rFonts w:ascii="宋体" w:hAnsi="宋体" w:cs="宋体"/>
                <w:kern w:val="0"/>
                <w:szCs w:val="21"/>
              </w:rPr>
            </w:pPr>
          </w:p>
        </w:tc>
        <w:tc>
          <w:tcPr>
            <w:tcW w:w="992" w:type="dxa"/>
            <w:vAlign w:val="center"/>
          </w:tcPr>
          <w:p>
            <w:pPr>
              <w:widowControl/>
              <w:adjustRightInd w:val="0"/>
              <w:snapToGrid w:val="0"/>
              <w:jc w:val="center"/>
              <w:rPr>
                <w:rFonts w:ascii="宋体" w:hAnsi="宋体" w:cs="宋体"/>
                <w:kern w:val="0"/>
                <w:szCs w:val="21"/>
              </w:rPr>
            </w:pPr>
          </w:p>
        </w:tc>
        <w:tc>
          <w:tcPr>
            <w:tcW w:w="993" w:type="dxa"/>
            <w:vAlign w:val="center"/>
          </w:tcPr>
          <w:p>
            <w:pPr>
              <w:widowControl/>
              <w:adjustRightInd w:val="0"/>
              <w:snapToGrid w:val="0"/>
              <w:jc w:val="center"/>
              <w:rPr>
                <w:rFonts w:ascii="宋体" w:hAnsi="宋体" w:cs="宋体"/>
                <w:kern w:val="0"/>
                <w:szCs w:val="21"/>
              </w:rPr>
            </w:pPr>
          </w:p>
        </w:tc>
        <w:tc>
          <w:tcPr>
            <w:tcW w:w="851" w:type="dxa"/>
            <w:vAlign w:val="center"/>
          </w:tcPr>
          <w:p>
            <w:pPr>
              <w:widowControl/>
              <w:adjustRightInd w:val="0"/>
              <w:snapToGrid w:val="0"/>
              <w:jc w:val="center"/>
              <w:rPr>
                <w:rFonts w:ascii="宋体" w:hAnsi="宋体" w:cs="宋体"/>
                <w:kern w:val="0"/>
                <w:szCs w:val="21"/>
              </w:rPr>
            </w:pPr>
          </w:p>
        </w:tc>
        <w:tc>
          <w:tcPr>
            <w:tcW w:w="651" w:type="dxa"/>
            <w:vAlign w:val="center"/>
          </w:tcPr>
          <w:p>
            <w:pPr>
              <w:widowControl/>
              <w:adjustRightInd w:val="0"/>
              <w:snapToGrid w:val="0"/>
              <w:jc w:val="center"/>
              <w:rPr>
                <w:rFonts w:ascii="宋体" w:hAnsi="宋体" w:cs="宋体"/>
                <w:kern w:val="0"/>
                <w:szCs w:val="21"/>
              </w:rPr>
            </w:pPr>
          </w:p>
        </w:tc>
        <w:tc>
          <w:tcPr>
            <w:tcW w:w="765" w:type="dxa"/>
            <w:vAlign w:val="center"/>
          </w:tcPr>
          <w:p>
            <w:pPr>
              <w:widowControl/>
              <w:adjustRightInd w:val="0"/>
              <w:snapToGrid w:val="0"/>
              <w:jc w:val="center"/>
              <w:rPr>
                <w:rFonts w:ascii="宋体" w:hAnsi="宋体" w:cs="宋体"/>
                <w:kern w:val="0"/>
                <w:szCs w:val="21"/>
              </w:rPr>
            </w:pPr>
          </w:p>
        </w:tc>
      </w:tr>
    </w:tbl>
    <w:p>
      <w:pPr>
        <w:widowControl/>
        <w:spacing w:line="200" w:lineRule="atLeast"/>
        <w:rPr>
          <w:rFonts w:ascii="宋体" w:hAnsi="宋体" w:cs="宋体"/>
          <w:kern w:val="0"/>
          <w:szCs w:val="21"/>
        </w:rPr>
      </w:pPr>
      <w:r>
        <w:rPr>
          <w:rFonts w:hint="eastAsia" w:ascii="宋体" w:hAnsi="宋体" w:cs="宋体"/>
          <w:kern w:val="0"/>
          <w:szCs w:val="21"/>
        </w:rPr>
        <w:t>注：“单价”系指货物生产、包装、运输、保险、装卸（至指定地点）、安装（招标文件要求报价）、调试、检验、验收、试运行、技术服务、培训等所有应由投标人承担的各项费用及税金。</w:t>
      </w:r>
      <w:r>
        <w:rPr>
          <w:rFonts w:hint="eastAsia" w:ascii="宋体" w:hAnsi="宋体" w:cs="宋体"/>
          <w:szCs w:val="21"/>
        </w:rPr>
        <w:t>表中所列货物须为本项目需求的全部货物。如有漏项或缺项，视为投标人予以优惠，无偿提供漏项或缺项货物。</w:t>
      </w:r>
    </w:p>
    <w:p>
      <w:pPr>
        <w:widowControl/>
        <w:spacing w:line="200" w:lineRule="atLeast"/>
        <w:rPr>
          <w:rFonts w:ascii="宋体" w:hAnsi="宋体" w:cs="宋体"/>
          <w:szCs w:val="21"/>
        </w:rPr>
      </w:pPr>
    </w:p>
    <w:p>
      <w:pPr>
        <w:widowControl/>
        <w:spacing w:line="200" w:lineRule="atLeast"/>
        <w:rPr>
          <w:rFonts w:ascii="宋体" w:hAnsi="宋体" w:cs="宋体"/>
          <w:szCs w:val="21"/>
        </w:rPr>
      </w:pPr>
    </w:p>
    <w:p>
      <w:pPr>
        <w:widowControl/>
        <w:spacing w:line="200" w:lineRule="atLeast"/>
        <w:rPr>
          <w:rFonts w:ascii="宋体" w:hAnsi="宋体" w:cs="宋体"/>
          <w:kern w:val="0"/>
          <w:szCs w:val="21"/>
        </w:rPr>
      </w:pPr>
      <w:r>
        <w:rPr>
          <w:rFonts w:hint="eastAsia" w:ascii="宋体" w:hAnsi="宋体" w:cs="宋体"/>
          <w:kern w:val="0"/>
          <w:szCs w:val="21"/>
        </w:rPr>
        <w:t xml:space="preserve"> </w:t>
      </w:r>
    </w:p>
    <w:p>
      <w:pPr>
        <w:widowControl/>
        <w:spacing w:line="261" w:lineRule="auto"/>
        <w:ind w:left="4000" w:right="239"/>
        <w:rPr>
          <w:rFonts w:ascii="宋体" w:hAnsi="宋体" w:cs="宋体"/>
          <w:kern w:val="0"/>
          <w:szCs w:val="21"/>
        </w:rPr>
      </w:pPr>
      <w:r>
        <w:rPr>
          <w:rFonts w:hint="eastAsia" w:ascii="宋体" w:hAnsi="宋体" w:cs="宋体"/>
          <w:kern w:val="0"/>
          <w:szCs w:val="21"/>
        </w:rPr>
        <w:t>投</w:t>
      </w:r>
      <w:r>
        <w:rPr>
          <w:rFonts w:hint="eastAsia" w:ascii="宋体" w:hAnsi="宋体" w:cs="宋体"/>
          <w:spacing w:val="43"/>
          <w:kern w:val="0"/>
          <w:szCs w:val="21"/>
        </w:rPr>
        <w:t xml:space="preserve"> </w:t>
      </w:r>
      <w:r>
        <w:rPr>
          <w:rFonts w:hint="eastAsia" w:ascii="宋体" w:hAnsi="宋体" w:cs="宋体"/>
          <w:kern w:val="0"/>
          <w:szCs w:val="21"/>
        </w:rPr>
        <w:t>标</w:t>
      </w:r>
      <w:r>
        <w:rPr>
          <w:rFonts w:hint="eastAsia" w:ascii="宋体" w:hAnsi="宋体" w:cs="宋体"/>
          <w:spacing w:val="43"/>
          <w:kern w:val="0"/>
          <w:szCs w:val="21"/>
        </w:rPr>
        <w:t xml:space="preserve"> </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（单位盖章） 法定代表人或其委托代理人</w:t>
      </w:r>
      <w:r>
        <w:rPr>
          <w:rFonts w:hint="eastAsia" w:ascii="宋体" w:hAnsi="宋体" w:cs="宋体"/>
          <w:spacing w:val="-47"/>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（签</w:t>
      </w:r>
      <w:r>
        <w:rPr>
          <w:rFonts w:hint="eastAsia" w:ascii="宋体" w:hAnsi="宋体" w:cs="宋体"/>
          <w:kern w:val="0"/>
          <w:szCs w:val="21"/>
        </w:rPr>
        <w:t>字或盖章）</w:t>
      </w:r>
    </w:p>
    <w:p>
      <w:pPr>
        <w:widowControl/>
        <w:spacing w:before="7"/>
        <w:ind w:left="5680" w:right="-20"/>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widowControl/>
        <w:spacing w:before="3" w:line="180" w:lineRule="atLeast"/>
        <w:rPr>
          <w:rFonts w:ascii="宋体" w:hAnsi="宋体" w:cs="宋体"/>
          <w:kern w:val="0"/>
          <w:sz w:val="18"/>
          <w:szCs w:val="18"/>
        </w:rPr>
      </w:pPr>
      <w:r>
        <w:rPr>
          <w:rFonts w:hint="eastAsia" w:ascii="宋体" w:hAnsi="宋体" w:cs="宋体"/>
          <w:kern w:val="0"/>
          <w:sz w:val="18"/>
          <w:szCs w:val="18"/>
        </w:rPr>
        <w:t xml:space="preserve"> </w:t>
      </w:r>
    </w:p>
    <w:p>
      <w:pPr>
        <w:widowControl/>
        <w:ind w:left="1503" w:right="1683"/>
        <w:jc w:val="center"/>
        <w:rPr>
          <w:rFonts w:ascii="宋体" w:hAnsi="宋体" w:cs="宋体"/>
          <w:spacing w:val="12"/>
          <w:kern w:val="0"/>
          <w:sz w:val="28"/>
          <w:szCs w:val="28"/>
        </w:rPr>
      </w:pPr>
    </w:p>
    <w:p>
      <w:pPr>
        <w:widowControl/>
        <w:ind w:left="1503" w:right="1683"/>
        <w:jc w:val="center"/>
        <w:rPr>
          <w:rFonts w:ascii="宋体" w:hAnsi="宋体" w:cs="宋体"/>
          <w:spacing w:val="12"/>
          <w:kern w:val="0"/>
          <w:sz w:val="28"/>
          <w:szCs w:val="28"/>
        </w:rPr>
      </w:pPr>
    </w:p>
    <w:p>
      <w:pPr>
        <w:widowControl/>
        <w:ind w:right="1683"/>
        <w:rPr>
          <w:rFonts w:ascii="宋体" w:hAnsi="宋体" w:cs="宋体"/>
          <w:spacing w:val="12"/>
          <w:kern w:val="0"/>
          <w:sz w:val="24"/>
        </w:rPr>
      </w:pPr>
    </w:p>
    <w:p>
      <w:pPr>
        <w:widowControl/>
        <w:ind w:left="1503" w:right="1683"/>
        <w:jc w:val="center"/>
        <w:rPr>
          <w:rFonts w:ascii="宋体" w:hAnsi="宋体" w:cs="宋体"/>
          <w:spacing w:val="12"/>
          <w:kern w:val="0"/>
          <w:sz w:val="24"/>
        </w:rPr>
      </w:pPr>
    </w:p>
    <w:p>
      <w:pPr>
        <w:widowControl/>
        <w:ind w:left="1503" w:right="1683"/>
        <w:jc w:val="center"/>
        <w:rPr>
          <w:rFonts w:ascii="宋体" w:hAnsi="宋体" w:cs="宋体"/>
          <w:b/>
          <w:kern w:val="0"/>
          <w:sz w:val="24"/>
        </w:rPr>
      </w:pPr>
      <w:r>
        <w:rPr>
          <w:rFonts w:hint="eastAsia" w:ascii="宋体" w:hAnsi="宋体" w:cs="宋体"/>
          <w:b/>
          <w:spacing w:val="12"/>
          <w:kern w:val="0"/>
          <w:sz w:val="24"/>
        </w:rPr>
        <w:t>3.2 质保期内备件及易损件</w:t>
      </w:r>
      <w:r>
        <w:rPr>
          <w:rFonts w:hint="eastAsia" w:ascii="宋体" w:hAnsi="宋体" w:cs="宋体"/>
          <w:b/>
          <w:kern w:val="0"/>
          <w:sz w:val="24"/>
        </w:rPr>
        <w:t>分项报价表（如有）</w:t>
      </w:r>
    </w:p>
    <w:p>
      <w:pPr>
        <w:widowControl/>
        <w:spacing w:line="333" w:lineRule="atLeast"/>
        <w:jc w:val="right"/>
        <w:rPr>
          <w:rFonts w:ascii="宋体" w:hAnsi="宋体" w:cs="宋体"/>
          <w:kern w:val="0"/>
          <w:szCs w:val="21"/>
        </w:rPr>
      </w:pPr>
      <w:r>
        <w:rPr>
          <w:rFonts w:hint="eastAsia" w:ascii="宋体" w:hAnsi="宋体" w:cs="宋体"/>
          <w:kern w:val="0"/>
          <w:position w:val="-4"/>
          <w:szCs w:val="21"/>
        </w:rPr>
        <w:t>招标</w:t>
      </w:r>
      <w:r>
        <w:rPr>
          <w:rFonts w:hint="eastAsia" w:ascii="宋体" w:hAnsi="宋体" w:cs="宋体"/>
          <w:spacing w:val="-1"/>
          <w:kern w:val="0"/>
          <w:position w:val="-4"/>
          <w:szCs w:val="21"/>
        </w:rPr>
        <w:t>编</w:t>
      </w:r>
      <w:r>
        <w:rPr>
          <w:rFonts w:hint="eastAsia" w:ascii="宋体" w:hAnsi="宋体" w:cs="宋体"/>
          <w:kern w:val="0"/>
          <w:position w:val="-4"/>
          <w:szCs w:val="21"/>
        </w:rPr>
        <w:t>号</w:t>
      </w:r>
      <w:r>
        <w:rPr>
          <w:rFonts w:hint="eastAsia" w:ascii="宋体" w:hAnsi="宋体" w:cs="宋体"/>
          <w:spacing w:val="-24"/>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kern w:val="0"/>
          <w:position w:val="-4"/>
          <w:szCs w:val="21"/>
        </w:rPr>
        <w:t>标段号</w:t>
      </w:r>
      <w:r>
        <w:rPr>
          <w:rFonts w:hint="eastAsia" w:ascii="宋体" w:hAnsi="宋体" w:cs="宋体"/>
          <w:spacing w:val="-25"/>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spacing w:val="-1"/>
          <w:kern w:val="0"/>
          <w:position w:val="-4"/>
          <w:szCs w:val="21"/>
        </w:rPr>
        <w:t>货</w:t>
      </w:r>
      <w:r>
        <w:rPr>
          <w:rFonts w:hint="eastAsia" w:ascii="宋体" w:hAnsi="宋体" w:cs="宋体"/>
          <w:kern w:val="0"/>
          <w:position w:val="-4"/>
          <w:szCs w:val="21"/>
        </w:rPr>
        <w:t>币单位</w:t>
      </w:r>
      <w:r>
        <w:rPr>
          <w:rFonts w:hint="eastAsia" w:ascii="宋体" w:hAnsi="宋体" w:cs="宋体"/>
          <w:spacing w:val="-24"/>
          <w:kern w:val="0"/>
          <w:position w:val="-4"/>
          <w:szCs w:val="21"/>
        </w:rPr>
        <w:t>：</w:t>
      </w:r>
      <w:r>
        <w:rPr>
          <w:rFonts w:hint="eastAsia" w:ascii="宋体" w:hAnsi="宋体" w:cs="宋体"/>
          <w:kern w:val="0"/>
          <w:position w:val="-4"/>
          <w:szCs w:val="21"/>
        </w:rPr>
        <w:t>元</w:t>
      </w:r>
    </w:p>
    <w:tbl>
      <w:tblPr>
        <w:tblStyle w:val="39"/>
        <w:tblW w:w="0" w:type="auto"/>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020"/>
      </w:tblGrid>
      <w:tr>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货物名称</w:t>
            </w: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规格型号</w:t>
            </w: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数量</w:t>
            </w: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单位</w:t>
            </w: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单价</w:t>
            </w: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合价</w:t>
            </w: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制造商</w:t>
            </w: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品牌</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产地</w:t>
            </w: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发货地点</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2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2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2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合计（此表价格含在投标总价内）</w:t>
            </w: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2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bl>
    <w:p>
      <w:pPr>
        <w:widowControl/>
        <w:spacing w:before="8" w:line="110" w:lineRule="atLeast"/>
        <w:rPr>
          <w:rFonts w:ascii="宋体" w:hAnsi="宋体" w:cs="宋体"/>
          <w:kern w:val="0"/>
          <w:sz w:val="20"/>
          <w:szCs w:val="20"/>
        </w:rPr>
      </w:pPr>
      <w:r>
        <w:rPr>
          <w:rFonts w:hint="eastAsia" w:ascii="宋体" w:hAnsi="宋体" w:cs="宋体"/>
          <w:kern w:val="0"/>
          <w:sz w:val="11"/>
          <w:szCs w:val="11"/>
        </w:rPr>
        <w:t xml:space="preserve"> </w:t>
      </w:r>
      <w:r>
        <w:rPr>
          <w:rFonts w:hint="eastAsia" w:ascii="宋体" w:hAnsi="宋体" w:cs="宋体"/>
          <w:kern w:val="0"/>
          <w:sz w:val="20"/>
          <w:szCs w:val="20"/>
        </w:rPr>
        <w:t xml:space="preserve">  </w:t>
      </w:r>
    </w:p>
    <w:p>
      <w:pPr>
        <w:widowControl/>
        <w:spacing w:line="261" w:lineRule="auto"/>
        <w:ind w:right="239"/>
        <w:rPr>
          <w:rFonts w:ascii="宋体" w:hAnsi="宋体" w:cs="宋体"/>
          <w:kern w:val="0"/>
          <w:szCs w:val="21"/>
        </w:rPr>
      </w:pPr>
      <w:r>
        <w:rPr>
          <w:rFonts w:hint="eastAsia" w:ascii="宋体" w:hAnsi="宋体" w:cs="宋体"/>
          <w:kern w:val="0"/>
          <w:szCs w:val="21"/>
        </w:rPr>
        <w:t xml:space="preserve">                                     投</w:t>
      </w:r>
      <w:r>
        <w:rPr>
          <w:rFonts w:hint="eastAsia" w:ascii="宋体" w:hAnsi="宋体" w:cs="宋体"/>
          <w:spacing w:val="43"/>
          <w:kern w:val="0"/>
          <w:szCs w:val="21"/>
        </w:rPr>
        <w:t xml:space="preserve"> </w:t>
      </w:r>
      <w:r>
        <w:rPr>
          <w:rFonts w:hint="eastAsia" w:ascii="宋体" w:hAnsi="宋体" w:cs="宋体"/>
          <w:kern w:val="0"/>
          <w:szCs w:val="21"/>
        </w:rPr>
        <w:t>标</w:t>
      </w:r>
      <w:r>
        <w:rPr>
          <w:rFonts w:hint="eastAsia" w:ascii="宋体" w:hAnsi="宋体" w:cs="宋体"/>
          <w:spacing w:val="43"/>
          <w:kern w:val="0"/>
          <w:szCs w:val="21"/>
        </w:rPr>
        <w:t xml:space="preserve"> </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（单位盖章） 法定代表人或其委托代理人</w:t>
      </w:r>
      <w:r>
        <w:rPr>
          <w:rFonts w:hint="eastAsia" w:ascii="宋体" w:hAnsi="宋体" w:cs="宋体"/>
          <w:spacing w:val="-47"/>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（签</w:t>
      </w:r>
      <w:r>
        <w:rPr>
          <w:rFonts w:hint="eastAsia" w:ascii="宋体" w:hAnsi="宋体" w:cs="宋体"/>
          <w:kern w:val="0"/>
          <w:szCs w:val="21"/>
        </w:rPr>
        <w:t>字或盖章）</w:t>
      </w:r>
    </w:p>
    <w:p>
      <w:pPr>
        <w:widowControl/>
        <w:spacing w:before="7"/>
        <w:ind w:left="5680" w:right="-20"/>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widowControl/>
        <w:spacing w:before="3" w:line="180" w:lineRule="atLeast"/>
        <w:rPr>
          <w:rFonts w:ascii="宋体" w:hAnsi="宋体" w:cs="宋体"/>
          <w:kern w:val="0"/>
          <w:sz w:val="18"/>
          <w:szCs w:val="18"/>
        </w:rPr>
      </w:pPr>
      <w:r>
        <w:rPr>
          <w:rFonts w:hint="eastAsia" w:ascii="宋体" w:hAnsi="宋体" w:cs="宋体"/>
          <w:kern w:val="0"/>
          <w:sz w:val="18"/>
          <w:szCs w:val="18"/>
        </w:rPr>
        <w:t xml:space="preserve"> </w:t>
      </w:r>
    </w:p>
    <w:p>
      <w:pPr>
        <w:widowControl/>
        <w:ind w:left="1503" w:right="1683"/>
        <w:jc w:val="center"/>
        <w:rPr>
          <w:rFonts w:ascii="宋体" w:hAnsi="宋体" w:cs="宋体"/>
          <w:b/>
          <w:kern w:val="0"/>
          <w:sz w:val="24"/>
        </w:rPr>
      </w:pPr>
      <w:r>
        <w:rPr>
          <w:rFonts w:hint="eastAsia" w:ascii="宋体" w:hAnsi="宋体" w:cs="宋体"/>
          <w:b/>
          <w:spacing w:val="12"/>
          <w:kern w:val="0"/>
          <w:sz w:val="24"/>
        </w:rPr>
        <w:t>3.3  质保期外备件及易损件</w:t>
      </w:r>
      <w:r>
        <w:rPr>
          <w:rFonts w:hint="eastAsia" w:ascii="宋体" w:hAnsi="宋体" w:cs="宋体"/>
          <w:b/>
          <w:kern w:val="0"/>
          <w:sz w:val="24"/>
        </w:rPr>
        <w:t>分项报价表（如有）</w:t>
      </w:r>
    </w:p>
    <w:p>
      <w:pPr>
        <w:widowControl/>
        <w:spacing w:line="333" w:lineRule="atLeast"/>
        <w:jc w:val="right"/>
        <w:rPr>
          <w:rFonts w:ascii="宋体" w:hAnsi="宋体" w:cs="宋体"/>
          <w:kern w:val="0"/>
          <w:szCs w:val="21"/>
        </w:rPr>
      </w:pPr>
      <w:r>
        <w:rPr>
          <w:rFonts w:hint="eastAsia" w:ascii="宋体" w:hAnsi="宋体" w:cs="宋体"/>
          <w:kern w:val="0"/>
          <w:position w:val="-4"/>
          <w:szCs w:val="21"/>
        </w:rPr>
        <w:t>招标</w:t>
      </w:r>
      <w:r>
        <w:rPr>
          <w:rFonts w:hint="eastAsia" w:ascii="宋体" w:hAnsi="宋体" w:cs="宋体"/>
          <w:spacing w:val="-1"/>
          <w:kern w:val="0"/>
          <w:position w:val="-4"/>
          <w:szCs w:val="21"/>
        </w:rPr>
        <w:t>编</w:t>
      </w:r>
      <w:r>
        <w:rPr>
          <w:rFonts w:hint="eastAsia" w:ascii="宋体" w:hAnsi="宋体" w:cs="宋体"/>
          <w:kern w:val="0"/>
          <w:position w:val="-4"/>
          <w:szCs w:val="21"/>
        </w:rPr>
        <w:t>号</w:t>
      </w:r>
      <w:r>
        <w:rPr>
          <w:rFonts w:hint="eastAsia" w:ascii="宋体" w:hAnsi="宋体" w:cs="宋体"/>
          <w:spacing w:val="-24"/>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kern w:val="0"/>
          <w:position w:val="-4"/>
          <w:szCs w:val="21"/>
        </w:rPr>
        <w:t>标段号</w:t>
      </w:r>
      <w:r>
        <w:rPr>
          <w:rFonts w:hint="eastAsia" w:ascii="宋体" w:hAnsi="宋体" w:cs="宋体"/>
          <w:spacing w:val="-25"/>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spacing w:val="-1"/>
          <w:kern w:val="0"/>
          <w:position w:val="-4"/>
          <w:szCs w:val="21"/>
        </w:rPr>
        <w:t>货</w:t>
      </w:r>
      <w:r>
        <w:rPr>
          <w:rFonts w:hint="eastAsia" w:ascii="宋体" w:hAnsi="宋体" w:cs="宋体"/>
          <w:kern w:val="0"/>
          <w:position w:val="-4"/>
          <w:szCs w:val="21"/>
        </w:rPr>
        <w:t>币单位</w:t>
      </w:r>
      <w:r>
        <w:rPr>
          <w:rFonts w:hint="eastAsia" w:ascii="宋体" w:hAnsi="宋体" w:cs="宋体"/>
          <w:spacing w:val="-24"/>
          <w:kern w:val="0"/>
          <w:position w:val="-4"/>
          <w:szCs w:val="21"/>
        </w:rPr>
        <w:t>：</w:t>
      </w:r>
      <w:r>
        <w:rPr>
          <w:rFonts w:hint="eastAsia" w:ascii="宋体" w:hAnsi="宋体" w:cs="宋体"/>
          <w:kern w:val="0"/>
          <w:position w:val="-4"/>
          <w:szCs w:val="21"/>
        </w:rPr>
        <w:t>元</w:t>
      </w:r>
    </w:p>
    <w:tbl>
      <w:tblPr>
        <w:tblStyle w:val="39"/>
        <w:tblW w:w="0" w:type="auto"/>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005"/>
      </w:tblGrid>
      <w:tr>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货物名称</w:t>
            </w: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规格型号</w:t>
            </w: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数量</w:t>
            </w: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单位</w:t>
            </w: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单价</w:t>
            </w: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合价</w:t>
            </w: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制造商</w:t>
            </w: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品牌</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产地</w:t>
            </w: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发货地点</w:t>
            </w:r>
          </w:p>
        </w:tc>
        <w:tc>
          <w:tcPr>
            <w:tcW w:w="100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合计（</w:t>
            </w:r>
            <w:r>
              <w:rPr>
                <w:rFonts w:hint="eastAsia" w:ascii="宋体" w:hAnsi="宋体" w:cs="宋体"/>
                <w:b/>
                <w:kern w:val="0"/>
                <w:szCs w:val="21"/>
              </w:rPr>
              <w:t>此表价格不含在投标总价内</w:t>
            </w:r>
            <w:r>
              <w:rPr>
                <w:rFonts w:hint="eastAsia" w:ascii="宋体" w:hAnsi="宋体" w:cs="宋体"/>
                <w:kern w:val="0"/>
                <w:szCs w:val="21"/>
              </w:rPr>
              <w:t>）</w:t>
            </w: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0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bl>
    <w:p>
      <w:pPr>
        <w:widowControl/>
        <w:spacing w:before="8" w:line="110" w:lineRule="atLeast"/>
        <w:rPr>
          <w:rFonts w:ascii="宋体" w:hAnsi="宋体" w:cs="宋体"/>
          <w:kern w:val="0"/>
          <w:sz w:val="20"/>
          <w:szCs w:val="20"/>
        </w:rPr>
      </w:pPr>
      <w:r>
        <w:rPr>
          <w:rFonts w:hint="eastAsia" w:ascii="宋体" w:hAnsi="宋体" w:cs="宋体"/>
          <w:kern w:val="0"/>
          <w:sz w:val="11"/>
          <w:szCs w:val="11"/>
        </w:rPr>
        <w:t xml:space="preserve"> </w:t>
      </w:r>
      <w:r>
        <w:rPr>
          <w:rFonts w:hint="eastAsia" w:ascii="宋体" w:hAnsi="宋体" w:cs="宋体"/>
          <w:kern w:val="0"/>
          <w:sz w:val="20"/>
          <w:szCs w:val="20"/>
        </w:rPr>
        <w:t xml:space="preserve">  </w:t>
      </w:r>
    </w:p>
    <w:p>
      <w:pPr>
        <w:widowControl/>
        <w:spacing w:line="261" w:lineRule="auto"/>
        <w:ind w:right="239"/>
        <w:rPr>
          <w:rFonts w:ascii="宋体" w:hAnsi="宋体" w:cs="宋体"/>
          <w:kern w:val="0"/>
          <w:szCs w:val="21"/>
        </w:rPr>
      </w:pPr>
      <w:r>
        <w:rPr>
          <w:rFonts w:hint="eastAsia" w:ascii="宋体" w:hAnsi="宋体" w:cs="宋体"/>
          <w:kern w:val="0"/>
          <w:szCs w:val="21"/>
        </w:rPr>
        <w:t xml:space="preserve">                                     投</w:t>
      </w:r>
      <w:r>
        <w:rPr>
          <w:rFonts w:hint="eastAsia" w:ascii="宋体" w:hAnsi="宋体" w:cs="宋体"/>
          <w:spacing w:val="43"/>
          <w:kern w:val="0"/>
          <w:szCs w:val="21"/>
        </w:rPr>
        <w:t xml:space="preserve"> </w:t>
      </w:r>
      <w:r>
        <w:rPr>
          <w:rFonts w:hint="eastAsia" w:ascii="宋体" w:hAnsi="宋体" w:cs="宋体"/>
          <w:kern w:val="0"/>
          <w:szCs w:val="21"/>
        </w:rPr>
        <w:t>标</w:t>
      </w:r>
      <w:r>
        <w:rPr>
          <w:rFonts w:hint="eastAsia" w:ascii="宋体" w:hAnsi="宋体" w:cs="宋体"/>
          <w:spacing w:val="43"/>
          <w:kern w:val="0"/>
          <w:szCs w:val="21"/>
        </w:rPr>
        <w:t xml:space="preserve"> </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（单位盖章） 法定代表人或其委托代理人</w:t>
      </w:r>
      <w:r>
        <w:rPr>
          <w:rFonts w:hint="eastAsia" w:ascii="宋体" w:hAnsi="宋体" w:cs="宋体"/>
          <w:spacing w:val="-47"/>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（签</w:t>
      </w:r>
      <w:r>
        <w:rPr>
          <w:rFonts w:hint="eastAsia" w:ascii="宋体" w:hAnsi="宋体" w:cs="宋体"/>
          <w:kern w:val="0"/>
          <w:szCs w:val="21"/>
        </w:rPr>
        <w:t>字或盖章）</w:t>
      </w:r>
    </w:p>
    <w:p>
      <w:pPr>
        <w:widowControl/>
        <w:spacing w:before="7"/>
        <w:ind w:left="5680" w:right="-20"/>
        <w:rPr>
          <w:rFonts w:ascii="宋体" w:hAnsi="宋体" w:cs="宋体"/>
          <w:kern w:val="0"/>
          <w:szCs w:val="21"/>
        </w:rPr>
        <w:sectPr>
          <w:headerReference r:id="rId9" w:type="default"/>
          <w:pgSz w:w="16839" w:h="11907" w:orient="landscape"/>
          <w:pgMar w:top="1134" w:right="1440" w:bottom="1134" w:left="1797" w:header="720" w:footer="720" w:gutter="0"/>
          <w:cols w:space="720" w:num="1"/>
          <w:docGrid w:linePitch="286" w:charSpace="0"/>
        </w:sect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widowControl/>
        <w:ind w:left="1503" w:right="1683"/>
        <w:jc w:val="center"/>
        <w:rPr>
          <w:rFonts w:ascii="宋体" w:hAnsi="宋体" w:cs="宋体"/>
          <w:spacing w:val="12"/>
          <w:kern w:val="0"/>
          <w:sz w:val="24"/>
        </w:rPr>
      </w:pPr>
    </w:p>
    <w:p>
      <w:pPr>
        <w:widowControl/>
        <w:ind w:left="1503" w:right="1683"/>
        <w:jc w:val="center"/>
        <w:rPr>
          <w:rFonts w:ascii="宋体" w:hAnsi="宋体" w:cs="宋体"/>
          <w:b/>
          <w:kern w:val="0"/>
          <w:sz w:val="24"/>
        </w:rPr>
      </w:pPr>
      <w:r>
        <w:rPr>
          <w:rFonts w:hint="eastAsia" w:ascii="宋体" w:hAnsi="宋体" w:cs="宋体"/>
          <w:b/>
          <w:spacing w:val="12"/>
          <w:kern w:val="0"/>
          <w:sz w:val="24"/>
        </w:rPr>
        <w:t>3.4  专用工具</w:t>
      </w:r>
      <w:r>
        <w:rPr>
          <w:rFonts w:hint="eastAsia" w:ascii="宋体" w:hAnsi="宋体" w:cs="宋体"/>
          <w:b/>
          <w:kern w:val="0"/>
          <w:sz w:val="24"/>
        </w:rPr>
        <w:t>分项报价表（如有）</w:t>
      </w:r>
    </w:p>
    <w:p>
      <w:pPr>
        <w:widowControl/>
        <w:spacing w:line="333" w:lineRule="atLeast"/>
        <w:jc w:val="right"/>
        <w:rPr>
          <w:rFonts w:ascii="宋体" w:hAnsi="宋体" w:cs="宋体"/>
          <w:kern w:val="0"/>
          <w:szCs w:val="21"/>
        </w:rPr>
      </w:pPr>
      <w:r>
        <w:rPr>
          <w:rFonts w:hint="eastAsia" w:ascii="宋体" w:hAnsi="宋体" w:cs="宋体"/>
          <w:kern w:val="0"/>
          <w:position w:val="-4"/>
          <w:szCs w:val="21"/>
        </w:rPr>
        <w:t>招标</w:t>
      </w:r>
      <w:r>
        <w:rPr>
          <w:rFonts w:hint="eastAsia" w:ascii="宋体" w:hAnsi="宋体" w:cs="宋体"/>
          <w:spacing w:val="-1"/>
          <w:kern w:val="0"/>
          <w:position w:val="-4"/>
          <w:szCs w:val="21"/>
        </w:rPr>
        <w:t>编</w:t>
      </w:r>
      <w:r>
        <w:rPr>
          <w:rFonts w:hint="eastAsia" w:ascii="宋体" w:hAnsi="宋体" w:cs="宋体"/>
          <w:kern w:val="0"/>
          <w:position w:val="-4"/>
          <w:szCs w:val="21"/>
        </w:rPr>
        <w:t>号</w:t>
      </w:r>
      <w:r>
        <w:rPr>
          <w:rFonts w:hint="eastAsia" w:ascii="宋体" w:hAnsi="宋体" w:cs="宋体"/>
          <w:spacing w:val="-24"/>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kern w:val="0"/>
          <w:position w:val="-4"/>
          <w:szCs w:val="21"/>
        </w:rPr>
        <w:t>标段号</w:t>
      </w:r>
      <w:r>
        <w:rPr>
          <w:rFonts w:hint="eastAsia" w:ascii="宋体" w:hAnsi="宋体" w:cs="宋体"/>
          <w:spacing w:val="-25"/>
          <w:kern w:val="0"/>
          <w:position w:val="-4"/>
          <w:szCs w:val="21"/>
        </w:rPr>
        <w:t>：</w:t>
      </w:r>
      <w:r>
        <w:rPr>
          <w:rFonts w:hint="eastAsia" w:ascii="宋体" w:hAnsi="宋体" w:cs="宋体"/>
          <w:spacing w:val="42"/>
          <w:kern w:val="0"/>
          <w:position w:val="-4"/>
          <w:szCs w:val="21"/>
          <w:u w:val="single"/>
        </w:rPr>
        <w:t xml:space="preserve"> </w:t>
      </w:r>
      <w:r>
        <w:rPr>
          <w:rFonts w:hint="eastAsia" w:ascii="宋体" w:hAnsi="宋体" w:cs="宋体"/>
          <w:kern w:val="0"/>
          <w:position w:val="-4"/>
          <w:szCs w:val="21"/>
          <w:u w:val="single"/>
        </w:rPr>
        <w:t xml:space="preserve">    </w:t>
      </w:r>
      <w:r>
        <w:rPr>
          <w:rFonts w:hint="eastAsia" w:ascii="宋体" w:hAnsi="宋体" w:cs="宋体"/>
          <w:spacing w:val="-1"/>
          <w:kern w:val="0"/>
          <w:position w:val="-4"/>
          <w:szCs w:val="21"/>
        </w:rPr>
        <w:t>货</w:t>
      </w:r>
      <w:r>
        <w:rPr>
          <w:rFonts w:hint="eastAsia" w:ascii="宋体" w:hAnsi="宋体" w:cs="宋体"/>
          <w:kern w:val="0"/>
          <w:position w:val="-4"/>
          <w:szCs w:val="21"/>
        </w:rPr>
        <w:t>币单位</w:t>
      </w:r>
      <w:r>
        <w:rPr>
          <w:rFonts w:hint="eastAsia" w:ascii="宋体" w:hAnsi="宋体" w:cs="宋体"/>
          <w:spacing w:val="-24"/>
          <w:kern w:val="0"/>
          <w:position w:val="-4"/>
          <w:szCs w:val="21"/>
        </w:rPr>
        <w:t>：</w:t>
      </w:r>
      <w:r>
        <w:rPr>
          <w:rFonts w:hint="eastAsia" w:ascii="宋体" w:hAnsi="宋体" w:cs="宋体"/>
          <w:kern w:val="0"/>
          <w:position w:val="-4"/>
          <w:szCs w:val="21"/>
        </w:rPr>
        <w:t>元</w:t>
      </w:r>
    </w:p>
    <w:tbl>
      <w:tblPr>
        <w:tblStyle w:val="39"/>
        <w:tblW w:w="0" w:type="auto"/>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945"/>
      </w:tblGrid>
      <w:tr>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货物名称</w:t>
            </w: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规格型号</w:t>
            </w: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数量</w:t>
            </w: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单位</w:t>
            </w: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单价</w:t>
            </w: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合价</w:t>
            </w: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制造商</w:t>
            </w: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品牌</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产地</w:t>
            </w: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发货地点</w:t>
            </w:r>
          </w:p>
        </w:tc>
        <w:tc>
          <w:tcPr>
            <w:tcW w:w="94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73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7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r>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合计（</w:t>
            </w:r>
            <w:r>
              <w:rPr>
                <w:rFonts w:hint="eastAsia" w:ascii="宋体" w:hAnsi="宋体" w:cs="宋体"/>
                <w:b/>
                <w:kern w:val="0"/>
                <w:szCs w:val="21"/>
              </w:rPr>
              <w:t>此表价格含在投标总价内</w:t>
            </w:r>
            <w:r>
              <w:rPr>
                <w:rFonts w:hint="eastAsia" w:ascii="宋体" w:hAnsi="宋体" w:cs="宋体"/>
                <w:kern w:val="0"/>
                <w:szCs w:val="21"/>
              </w:rPr>
              <w:t>）</w:t>
            </w:r>
          </w:p>
        </w:tc>
        <w:tc>
          <w:tcPr>
            <w:tcW w:w="105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5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92"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c>
          <w:tcPr>
            <w:tcW w:w="94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cs="宋体"/>
                <w:kern w:val="0"/>
                <w:szCs w:val="21"/>
              </w:rPr>
            </w:pPr>
          </w:p>
        </w:tc>
      </w:tr>
    </w:tbl>
    <w:p>
      <w:pPr>
        <w:widowControl/>
        <w:spacing w:before="8" w:line="110" w:lineRule="atLeast"/>
        <w:rPr>
          <w:rFonts w:ascii="宋体" w:hAnsi="宋体" w:cs="宋体"/>
          <w:kern w:val="0"/>
          <w:sz w:val="20"/>
          <w:szCs w:val="20"/>
        </w:rPr>
      </w:pPr>
      <w:r>
        <w:rPr>
          <w:rFonts w:hint="eastAsia" w:ascii="宋体" w:hAnsi="宋体" w:cs="宋体"/>
          <w:kern w:val="0"/>
          <w:sz w:val="11"/>
          <w:szCs w:val="11"/>
        </w:rPr>
        <w:t xml:space="preserve"> </w:t>
      </w:r>
      <w:r>
        <w:rPr>
          <w:rFonts w:hint="eastAsia" w:ascii="宋体" w:hAnsi="宋体" w:cs="宋体"/>
          <w:kern w:val="0"/>
          <w:sz w:val="20"/>
          <w:szCs w:val="20"/>
        </w:rPr>
        <w:t xml:space="preserve">  </w:t>
      </w:r>
    </w:p>
    <w:p>
      <w:pPr>
        <w:widowControl/>
        <w:spacing w:line="261" w:lineRule="auto"/>
        <w:ind w:right="239"/>
        <w:rPr>
          <w:rFonts w:ascii="宋体" w:hAnsi="宋体" w:cs="宋体"/>
          <w:kern w:val="0"/>
          <w:szCs w:val="21"/>
        </w:rPr>
      </w:pPr>
      <w:r>
        <w:rPr>
          <w:rFonts w:hint="eastAsia" w:ascii="宋体" w:hAnsi="宋体" w:cs="宋体"/>
          <w:kern w:val="0"/>
          <w:szCs w:val="21"/>
        </w:rPr>
        <w:t xml:space="preserve">                                     投</w:t>
      </w:r>
      <w:r>
        <w:rPr>
          <w:rFonts w:hint="eastAsia" w:ascii="宋体" w:hAnsi="宋体" w:cs="宋体"/>
          <w:spacing w:val="43"/>
          <w:kern w:val="0"/>
          <w:szCs w:val="21"/>
        </w:rPr>
        <w:t xml:space="preserve"> </w:t>
      </w:r>
      <w:r>
        <w:rPr>
          <w:rFonts w:hint="eastAsia" w:ascii="宋体" w:hAnsi="宋体" w:cs="宋体"/>
          <w:kern w:val="0"/>
          <w:szCs w:val="21"/>
        </w:rPr>
        <w:t>标</w:t>
      </w:r>
      <w:r>
        <w:rPr>
          <w:rFonts w:hint="eastAsia" w:ascii="宋体" w:hAnsi="宋体" w:cs="宋体"/>
          <w:spacing w:val="43"/>
          <w:kern w:val="0"/>
          <w:szCs w:val="21"/>
        </w:rPr>
        <w:t xml:space="preserve"> </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（单位盖章） 法定代表人或其委托代理人</w:t>
      </w:r>
      <w:r>
        <w:rPr>
          <w:rFonts w:hint="eastAsia" w:ascii="宋体" w:hAnsi="宋体" w:cs="宋体"/>
          <w:spacing w:val="-47"/>
          <w:kern w:val="0"/>
          <w:szCs w:val="21"/>
        </w:rPr>
        <w:t>：</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（签</w:t>
      </w:r>
      <w:r>
        <w:rPr>
          <w:rFonts w:hint="eastAsia" w:ascii="宋体" w:hAnsi="宋体" w:cs="宋体"/>
          <w:kern w:val="0"/>
          <w:szCs w:val="21"/>
        </w:rPr>
        <w:t>字或盖章）</w:t>
      </w:r>
    </w:p>
    <w:p>
      <w:pPr>
        <w:widowControl/>
        <w:spacing w:before="7"/>
        <w:ind w:left="5680" w:right="-20"/>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spacing w:val="42"/>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widowControl/>
        <w:spacing w:line="272" w:lineRule="atLeast"/>
        <w:ind w:left="160" w:right="-20"/>
        <w:rPr>
          <w:rFonts w:ascii="宋体" w:hAnsi="宋体" w:cs="宋体"/>
          <w:kern w:val="0"/>
          <w:szCs w:val="21"/>
        </w:rPr>
      </w:pPr>
    </w:p>
    <w:p>
      <w:pPr>
        <w:widowControl/>
        <w:spacing w:before="7"/>
        <w:ind w:left="5680" w:right="-20"/>
        <w:rPr>
          <w:rFonts w:ascii="宋体" w:hAnsi="宋体"/>
          <w:kern w:val="0"/>
          <w:szCs w:val="21"/>
        </w:rPr>
      </w:pPr>
    </w:p>
    <w:p>
      <w:pPr>
        <w:widowControl/>
        <w:spacing w:line="272" w:lineRule="atLeast"/>
        <w:ind w:left="160" w:right="-20"/>
        <w:rPr>
          <w:rFonts w:ascii="宋体" w:hAnsi="宋体"/>
          <w:kern w:val="0"/>
          <w:szCs w:val="21"/>
        </w:rPr>
      </w:pPr>
    </w:p>
    <w:p>
      <w:pPr>
        <w:widowControl/>
        <w:spacing w:line="272" w:lineRule="atLeast"/>
        <w:ind w:left="160" w:right="-20"/>
        <w:rPr>
          <w:rFonts w:ascii="宋体" w:hAnsi="宋体"/>
          <w:kern w:val="0"/>
          <w:szCs w:val="21"/>
        </w:rPr>
      </w:pPr>
    </w:p>
    <w:p>
      <w:pPr>
        <w:widowControl/>
        <w:spacing w:line="272" w:lineRule="atLeast"/>
        <w:ind w:left="160" w:right="-20"/>
        <w:rPr>
          <w:rFonts w:ascii="宋体" w:hAnsi="宋体"/>
          <w:kern w:val="0"/>
          <w:szCs w:val="21"/>
        </w:rPr>
      </w:pPr>
    </w:p>
    <w:p>
      <w:pPr>
        <w:spacing w:line="360" w:lineRule="auto"/>
        <w:jc w:val="center"/>
        <w:rPr>
          <w:rFonts w:ascii="宋体" w:hAnsi="宋体"/>
          <w:b/>
          <w:sz w:val="30"/>
          <w:szCs w:val="30"/>
          <w:highlight w:val="cyan"/>
        </w:rPr>
      </w:pPr>
    </w:p>
    <w:p>
      <w:pPr>
        <w:spacing w:line="360" w:lineRule="auto"/>
        <w:jc w:val="center"/>
        <w:rPr>
          <w:rFonts w:ascii="宋体" w:hAnsi="宋体"/>
          <w:b/>
          <w:sz w:val="30"/>
          <w:szCs w:val="30"/>
          <w:highlight w:val="cyan"/>
        </w:rPr>
      </w:pPr>
    </w:p>
    <w:p>
      <w:pPr>
        <w:spacing w:line="360" w:lineRule="auto"/>
        <w:jc w:val="center"/>
        <w:rPr>
          <w:rFonts w:ascii="宋体" w:hAnsi="宋体"/>
          <w:b/>
          <w:sz w:val="30"/>
          <w:szCs w:val="30"/>
          <w:highlight w:val="cyan"/>
        </w:rPr>
      </w:pPr>
    </w:p>
    <w:p>
      <w:pPr>
        <w:spacing w:line="360" w:lineRule="auto"/>
        <w:rPr>
          <w:rFonts w:ascii="宋体" w:hAnsi="宋体"/>
          <w:b/>
          <w:sz w:val="30"/>
          <w:szCs w:val="30"/>
          <w:highlight w:val="cyan"/>
        </w:rPr>
      </w:pPr>
    </w:p>
    <w:p>
      <w:pPr>
        <w:sectPr>
          <w:headerReference r:id="rId10" w:type="default"/>
          <w:pgSz w:w="16840" w:h="11907" w:orient="landscape"/>
          <w:pgMar w:top="1797" w:right="1440" w:bottom="1797" w:left="1797" w:header="851" w:footer="1304" w:gutter="0"/>
          <w:cols w:space="720" w:num="1"/>
          <w:docGrid w:linePitch="312" w:charSpace="0"/>
        </w:sectPr>
      </w:pPr>
    </w:p>
    <w:bookmarkEnd w:id="102"/>
    <w:p>
      <w:pPr>
        <w:pStyle w:val="73"/>
        <w:keepNext w:val="0"/>
        <w:keepLines w:val="0"/>
        <w:spacing w:line="460" w:lineRule="exact"/>
        <w:ind w:firstLine="3213" w:firstLineChars="1000"/>
        <w:outlineLvl w:val="9"/>
        <w:rPr>
          <w:rFonts w:ascii="宋体" w:hAnsi="宋体" w:eastAsia="宋体"/>
        </w:rPr>
      </w:pPr>
      <w:bookmarkStart w:id="103" w:name="_Toc356993561"/>
      <w:bookmarkStart w:id="104" w:name="_Toc484070278"/>
      <w:bookmarkStart w:id="105" w:name="_Toc180993045"/>
      <w:bookmarkStart w:id="106" w:name="_Toc178044911"/>
      <w:r>
        <w:rPr>
          <w:rFonts w:hint="eastAsia" w:ascii="宋体" w:hAnsi="宋体" w:eastAsia="宋体"/>
        </w:rPr>
        <w:t>4、商务条款偏离表</w:t>
      </w:r>
      <w:bookmarkEnd w:id="103"/>
      <w:bookmarkEnd w:id="104"/>
      <w:bookmarkEnd w:id="105"/>
      <w:bookmarkEnd w:id="106"/>
    </w:p>
    <w:p>
      <w:pPr>
        <w:spacing w:line="460" w:lineRule="exact"/>
        <w:ind w:left="939" w:leftChars="171" w:hanging="580" w:hangingChars="242"/>
        <w:rPr>
          <w:rFonts w:ascii="宋体" w:hAnsi="宋体"/>
          <w:sz w:val="28"/>
        </w:rPr>
      </w:pPr>
      <w:r>
        <w:rPr>
          <w:rFonts w:ascii="宋体" w:hAnsi="宋体" w:cs="Arial"/>
          <w:sz w:val="24"/>
        </w:rPr>
        <w:t>招标编号</w:t>
      </w:r>
      <w:r>
        <w:rPr>
          <w:rFonts w:hint="eastAsia" w:ascii="宋体" w:hAnsi="宋体" w:cs="Arial"/>
          <w:sz w:val="24"/>
        </w:rPr>
        <w:t>：</w:t>
      </w:r>
      <w:r>
        <w:rPr>
          <w:rFonts w:hint="eastAsia" w:ascii="宋体" w:hAnsi="宋体"/>
          <w:sz w:val="24"/>
        </w:rPr>
        <w:t xml:space="preserve"> </w:t>
      </w:r>
    </w:p>
    <w:tbl>
      <w:tblPr>
        <w:tblStyle w:val="39"/>
        <w:tblW w:w="90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94"/>
        <w:gridCol w:w="2382"/>
        <w:gridCol w:w="2437"/>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00" w:type="dxa"/>
            <w:vAlign w:val="center"/>
          </w:tcPr>
          <w:p>
            <w:pPr>
              <w:spacing w:line="460" w:lineRule="exact"/>
              <w:jc w:val="center"/>
              <w:rPr>
                <w:rFonts w:ascii="宋体" w:hAnsi="宋体"/>
                <w:sz w:val="24"/>
              </w:rPr>
            </w:pPr>
            <w:r>
              <w:rPr>
                <w:rFonts w:hint="eastAsia" w:ascii="宋体" w:hAnsi="宋体"/>
                <w:sz w:val="24"/>
              </w:rPr>
              <w:t>序号</w:t>
            </w:r>
          </w:p>
        </w:tc>
        <w:tc>
          <w:tcPr>
            <w:tcW w:w="1794" w:type="dxa"/>
            <w:vAlign w:val="center"/>
          </w:tcPr>
          <w:p>
            <w:pPr>
              <w:spacing w:line="460" w:lineRule="exact"/>
              <w:jc w:val="center"/>
              <w:rPr>
                <w:rFonts w:ascii="宋体" w:hAnsi="宋体"/>
                <w:sz w:val="24"/>
              </w:rPr>
            </w:pPr>
            <w:r>
              <w:rPr>
                <w:rFonts w:hint="eastAsia" w:ascii="宋体" w:hAnsi="宋体"/>
                <w:sz w:val="24"/>
              </w:rPr>
              <w:t>招标文件</w:t>
            </w:r>
          </w:p>
          <w:p>
            <w:pPr>
              <w:spacing w:line="460" w:lineRule="exact"/>
              <w:jc w:val="center"/>
              <w:rPr>
                <w:rFonts w:ascii="宋体" w:hAnsi="宋体"/>
                <w:sz w:val="24"/>
              </w:rPr>
            </w:pPr>
            <w:r>
              <w:rPr>
                <w:rFonts w:hint="eastAsia" w:ascii="宋体" w:hAnsi="宋体"/>
                <w:sz w:val="24"/>
              </w:rPr>
              <w:t>条目号</w:t>
            </w:r>
          </w:p>
        </w:tc>
        <w:tc>
          <w:tcPr>
            <w:tcW w:w="2382" w:type="dxa"/>
            <w:vAlign w:val="center"/>
          </w:tcPr>
          <w:p>
            <w:pPr>
              <w:spacing w:line="460" w:lineRule="exact"/>
              <w:jc w:val="center"/>
              <w:rPr>
                <w:rFonts w:ascii="宋体" w:hAnsi="宋体"/>
                <w:sz w:val="24"/>
              </w:rPr>
            </w:pPr>
            <w:r>
              <w:rPr>
                <w:rFonts w:hint="eastAsia" w:ascii="宋体" w:hAnsi="宋体"/>
                <w:sz w:val="24"/>
              </w:rPr>
              <w:t>招标文件的商务条款</w:t>
            </w:r>
          </w:p>
        </w:tc>
        <w:tc>
          <w:tcPr>
            <w:tcW w:w="2437" w:type="dxa"/>
            <w:vAlign w:val="center"/>
          </w:tcPr>
          <w:p>
            <w:pPr>
              <w:spacing w:line="460" w:lineRule="exact"/>
              <w:jc w:val="center"/>
              <w:rPr>
                <w:rFonts w:ascii="宋体" w:hAnsi="宋体"/>
                <w:sz w:val="24"/>
              </w:rPr>
            </w:pPr>
            <w:r>
              <w:rPr>
                <w:rFonts w:hint="eastAsia" w:ascii="宋体" w:hAnsi="宋体"/>
                <w:sz w:val="24"/>
              </w:rPr>
              <w:t>投标文件的商务条款</w:t>
            </w:r>
          </w:p>
        </w:tc>
        <w:tc>
          <w:tcPr>
            <w:tcW w:w="1551" w:type="dxa"/>
            <w:vAlign w:val="center"/>
          </w:tcPr>
          <w:p>
            <w:pPr>
              <w:spacing w:line="460" w:lineRule="exact"/>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0" w:type="dxa"/>
          </w:tcPr>
          <w:p>
            <w:pPr>
              <w:spacing w:before="240" w:after="240" w:line="460" w:lineRule="exact"/>
              <w:rPr>
                <w:rFonts w:ascii="宋体" w:hAnsi="宋体"/>
                <w:sz w:val="24"/>
              </w:rPr>
            </w:pPr>
          </w:p>
        </w:tc>
        <w:tc>
          <w:tcPr>
            <w:tcW w:w="1794" w:type="dxa"/>
          </w:tcPr>
          <w:p>
            <w:pPr>
              <w:spacing w:before="240" w:after="240" w:line="460" w:lineRule="exact"/>
              <w:rPr>
                <w:rFonts w:ascii="宋体" w:hAnsi="宋体"/>
                <w:sz w:val="24"/>
              </w:rPr>
            </w:pPr>
          </w:p>
        </w:tc>
        <w:tc>
          <w:tcPr>
            <w:tcW w:w="2382" w:type="dxa"/>
          </w:tcPr>
          <w:p>
            <w:pPr>
              <w:spacing w:before="240" w:after="240" w:line="460" w:lineRule="exact"/>
              <w:rPr>
                <w:rFonts w:ascii="宋体" w:hAnsi="宋体"/>
                <w:sz w:val="24"/>
              </w:rPr>
            </w:pPr>
          </w:p>
        </w:tc>
        <w:tc>
          <w:tcPr>
            <w:tcW w:w="2437" w:type="dxa"/>
          </w:tcPr>
          <w:p>
            <w:pPr>
              <w:spacing w:before="240" w:after="240" w:line="460" w:lineRule="exact"/>
              <w:rPr>
                <w:rFonts w:ascii="宋体" w:hAnsi="宋体"/>
                <w:sz w:val="24"/>
              </w:rPr>
            </w:pPr>
          </w:p>
        </w:tc>
        <w:tc>
          <w:tcPr>
            <w:tcW w:w="1551" w:type="dxa"/>
          </w:tcPr>
          <w:p>
            <w:pPr>
              <w:spacing w:before="240" w:after="240" w:line="460" w:lineRule="exact"/>
              <w:rPr>
                <w:rFonts w:ascii="宋体" w:hAnsi="宋体"/>
                <w:sz w:val="24"/>
              </w:rPr>
            </w:pPr>
          </w:p>
        </w:tc>
      </w:tr>
    </w:tbl>
    <w:p>
      <w:pPr>
        <w:spacing w:line="460" w:lineRule="exact"/>
        <w:ind w:firstLine="210" w:firstLineChars="100"/>
        <w:rPr>
          <w:rFonts w:ascii="宋体" w:hAnsi="宋体" w:cs="Arial"/>
          <w:szCs w:val="21"/>
        </w:rPr>
      </w:pPr>
      <w:r>
        <w:rPr>
          <w:rFonts w:hint="eastAsia" w:ascii="宋体" w:hAnsi="宋体" w:cs="Arial"/>
          <w:szCs w:val="21"/>
        </w:rPr>
        <w:t>注：商务条款指招标文件中主要商务条款，如交货期、质保期等投标人必须完全响应的条款，投标人根据招标文件自行填写本表格。</w:t>
      </w:r>
    </w:p>
    <w:p>
      <w:pPr>
        <w:spacing w:line="460" w:lineRule="exact"/>
        <w:ind w:firstLine="240" w:firstLineChars="100"/>
        <w:rPr>
          <w:rFonts w:ascii="宋体" w:hAnsi="宋体" w:cs="Arial"/>
          <w:sz w:val="24"/>
        </w:rPr>
      </w:pPr>
    </w:p>
    <w:p>
      <w:pPr>
        <w:spacing w:line="460" w:lineRule="exact"/>
        <w:ind w:firstLine="240" w:firstLineChars="100"/>
        <w:rPr>
          <w:rFonts w:ascii="宋体" w:hAnsi="宋体" w:cs="Arial"/>
          <w:sz w:val="24"/>
        </w:rPr>
      </w:pPr>
      <w:r>
        <w:rPr>
          <w:rFonts w:hint="eastAsia" w:ascii="宋体" w:hAnsi="宋体" w:cs="Arial"/>
          <w:sz w:val="24"/>
        </w:rPr>
        <w:t>投标人 (公章) ：                          授权代表(签名)：</w:t>
      </w:r>
    </w:p>
    <w:p>
      <w:pPr>
        <w:spacing w:line="460" w:lineRule="exact"/>
        <w:ind w:firstLine="240" w:firstLineChars="100"/>
        <w:rPr>
          <w:rFonts w:ascii="宋体" w:hAnsi="宋体" w:cs="Arial"/>
          <w:sz w:val="24"/>
        </w:rPr>
      </w:pPr>
    </w:p>
    <w:p>
      <w:pPr>
        <w:spacing w:line="460" w:lineRule="exact"/>
        <w:ind w:firstLine="240" w:firstLineChars="100"/>
        <w:rPr>
          <w:rFonts w:ascii="宋体" w:hAnsi="宋体" w:cs="Arial"/>
          <w:sz w:val="24"/>
        </w:rPr>
      </w:pPr>
    </w:p>
    <w:p>
      <w:pPr>
        <w:spacing w:line="460" w:lineRule="exact"/>
        <w:ind w:firstLine="4080" w:firstLineChars="1700"/>
        <w:rPr>
          <w:rFonts w:ascii="宋体" w:hAnsi="宋体" w:cs="Arial"/>
          <w:sz w:val="24"/>
        </w:rPr>
      </w:pPr>
      <w:r>
        <w:rPr>
          <w:rFonts w:hint="eastAsia" w:ascii="宋体" w:hAnsi="宋体" w:cs="Arial"/>
          <w:sz w:val="24"/>
        </w:rPr>
        <w:t>日期：    年    月    日</w:t>
      </w:r>
    </w:p>
    <w:p>
      <w:pPr>
        <w:adjustRightInd w:val="0"/>
        <w:snapToGrid w:val="0"/>
        <w:spacing w:line="460" w:lineRule="exact"/>
        <w:jc w:val="center"/>
        <w:rPr>
          <w:rFonts w:ascii="宋体" w:hAnsi="宋体"/>
          <w:bCs/>
          <w:sz w:val="44"/>
          <w:szCs w:val="44"/>
        </w:rPr>
      </w:pPr>
    </w:p>
    <w:p>
      <w:pPr>
        <w:adjustRightInd w:val="0"/>
        <w:snapToGrid w:val="0"/>
        <w:spacing w:line="460" w:lineRule="exact"/>
        <w:rPr>
          <w:rFonts w:ascii="宋体" w:hAnsi="宋体"/>
          <w:bCs/>
          <w:sz w:val="44"/>
          <w:szCs w:val="44"/>
        </w:rPr>
      </w:pPr>
    </w:p>
    <w:p>
      <w:pPr>
        <w:adjustRightInd w:val="0"/>
        <w:snapToGrid w:val="0"/>
        <w:spacing w:line="460" w:lineRule="exact"/>
        <w:rPr>
          <w:rFonts w:ascii="宋体" w:hAnsi="宋体"/>
          <w:bCs/>
          <w:sz w:val="44"/>
          <w:szCs w:val="44"/>
        </w:rPr>
      </w:pPr>
    </w:p>
    <w:p>
      <w:pPr>
        <w:adjustRightInd w:val="0"/>
        <w:snapToGrid w:val="0"/>
        <w:spacing w:line="460" w:lineRule="exact"/>
        <w:ind w:firstLine="2420" w:firstLineChars="550"/>
        <w:rPr>
          <w:rFonts w:ascii="宋体" w:hAnsi="宋体"/>
          <w:bCs/>
          <w:sz w:val="44"/>
          <w:szCs w:val="44"/>
        </w:rPr>
      </w:pPr>
    </w:p>
    <w:p>
      <w:pPr>
        <w:adjustRightInd w:val="0"/>
        <w:snapToGrid w:val="0"/>
        <w:spacing w:line="460" w:lineRule="exact"/>
        <w:ind w:firstLine="2409" w:firstLineChars="750"/>
        <w:rPr>
          <w:rFonts w:ascii="宋体" w:hAnsi="宋体"/>
          <w:b/>
          <w:bCs/>
          <w:sz w:val="32"/>
          <w:szCs w:val="32"/>
        </w:rPr>
      </w:pPr>
      <w:r>
        <w:rPr>
          <w:rFonts w:hint="eastAsia" w:ascii="宋体" w:hAnsi="宋体"/>
          <w:b/>
          <w:bCs/>
          <w:sz w:val="32"/>
          <w:szCs w:val="32"/>
        </w:rPr>
        <w:t>5、投标报价需要的其他资料</w:t>
      </w:r>
    </w:p>
    <w:p>
      <w:pPr>
        <w:pStyle w:val="3"/>
        <w:rPr>
          <w:rFonts w:ascii="宋体" w:hAnsi="宋体" w:eastAsia="宋体"/>
          <w:sz w:val="32"/>
          <w:szCs w:val="32"/>
          <w:lang w:bidi="ar-SA"/>
        </w:rPr>
      </w:pPr>
    </w:p>
    <w:p>
      <w:pPr>
        <w:pStyle w:val="3"/>
        <w:rPr>
          <w:rFonts w:ascii="宋体" w:hAnsi="宋体" w:eastAsia="宋体"/>
          <w:sz w:val="32"/>
          <w:szCs w:val="32"/>
          <w:lang w:bidi="ar-SA"/>
        </w:rPr>
      </w:pPr>
      <w:r>
        <w:rPr>
          <w:rFonts w:hint="eastAsia" w:ascii="宋体" w:hAnsi="宋体" w:eastAsia="宋体"/>
          <w:sz w:val="32"/>
          <w:szCs w:val="32"/>
          <w:lang w:bidi="ar-SA"/>
        </w:rPr>
        <w:t>包括但不限于资格条件中所需要的资料</w:t>
      </w:r>
    </w:p>
    <w:p>
      <w:pPr>
        <w:spacing w:after="120" w:afterLines="50" w:line="300" w:lineRule="auto"/>
        <w:jc w:val="center"/>
        <w:rPr>
          <w:rFonts w:ascii="宋体" w:hAnsi="宋体"/>
          <w:b/>
          <w:sz w:val="28"/>
          <w:szCs w:val="28"/>
        </w:rPr>
      </w:pPr>
      <w:r>
        <w:rPr>
          <w:rFonts w:ascii="宋体" w:hAnsi="宋体"/>
          <w:b/>
          <w:sz w:val="24"/>
        </w:rPr>
        <w:br w:type="page"/>
      </w:r>
      <w:bookmarkStart w:id="107" w:name="_Toc180993046"/>
      <w:bookmarkStart w:id="108" w:name="_Toc356993562"/>
      <w:bookmarkStart w:id="109" w:name="_Toc178044912"/>
      <w:r>
        <w:rPr>
          <w:rFonts w:hint="eastAsia" w:ascii="宋体" w:hAnsi="宋体"/>
          <w:b/>
          <w:sz w:val="28"/>
          <w:szCs w:val="28"/>
        </w:rPr>
        <w:t>二、投标文件技术标格式</w:t>
      </w:r>
    </w:p>
    <w:p>
      <w:pPr>
        <w:adjustRightInd w:val="0"/>
        <w:snapToGrid w:val="0"/>
        <w:spacing w:after="120" w:afterLines="50" w:line="460" w:lineRule="exact"/>
        <w:jc w:val="right"/>
        <w:rPr>
          <w:rFonts w:ascii="宋体" w:hAnsi="宋体"/>
          <w:b/>
          <w:sz w:val="28"/>
          <w:szCs w:val="28"/>
        </w:rPr>
      </w:pPr>
      <w:r>
        <w:rPr>
          <w:rFonts w:hint="eastAsia" w:ascii="宋体" w:hAnsi="宋体"/>
          <w:b/>
          <w:sz w:val="32"/>
          <w:szCs w:val="32"/>
        </w:rPr>
        <w:t>正/副本</w:t>
      </w:r>
    </w:p>
    <w:p>
      <w:pPr>
        <w:pStyle w:val="18"/>
        <w:adjustRightInd w:val="0"/>
        <w:snapToGrid w:val="0"/>
        <w:spacing w:after="120" w:afterLines="50" w:line="300" w:lineRule="auto"/>
        <w:ind w:firstLine="0" w:firstLineChars="0"/>
        <w:jc w:val="left"/>
      </w:pPr>
    </w:p>
    <w:p>
      <w:pPr>
        <w:pStyle w:val="18"/>
        <w:adjustRightInd w:val="0"/>
        <w:snapToGrid w:val="0"/>
        <w:spacing w:after="120" w:afterLines="50" w:line="300" w:lineRule="auto"/>
        <w:ind w:firstLine="1920" w:firstLineChars="800"/>
        <w:rPr>
          <w:b/>
          <w:u w:val="single"/>
        </w:rPr>
      </w:pPr>
      <w:r>
        <w:rPr>
          <w:rFonts w:hint="eastAsia"/>
        </w:rPr>
        <w:t xml:space="preserve"> </w:t>
      </w:r>
      <w:r>
        <w:rPr>
          <w:rFonts w:hint="eastAsia"/>
          <w:u w:val="single"/>
        </w:rPr>
        <w:t xml:space="preserve">                                    </w:t>
      </w:r>
      <w:r>
        <w:rPr>
          <w:rFonts w:hint="eastAsia"/>
          <w:b/>
        </w:rPr>
        <w:t>（项目名称）</w:t>
      </w:r>
    </w:p>
    <w:p>
      <w:pPr>
        <w:adjustRightInd w:val="0"/>
        <w:snapToGrid w:val="0"/>
        <w:spacing w:after="120" w:afterLines="50" w:line="300" w:lineRule="auto"/>
        <w:rPr>
          <w:rFonts w:ascii="宋体" w:hAnsi="宋体"/>
          <w:sz w:val="32"/>
          <w:szCs w:val="32"/>
          <w:u w:val="single"/>
        </w:rPr>
      </w:pPr>
    </w:p>
    <w:p>
      <w:pPr>
        <w:pStyle w:val="2"/>
        <w:adjustRightInd w:val="0"/>
        <w:snapToGrid w:val="0"/>
        <w:spacing w:afterLines="50" w:line="300" w:lineRule="auto"/>
        <w:jc w:val="center"/>
        <w:rPr>
          <w:rFonts w:ascii="宋体" w:hAnsi="宋体"/>
          <w:sz w:val="72"/>
          <w:szCs w:val="72"/>
        </w:rPr>
      </w:pPr>
      <w:r>
        <w:rPr>
          <w:rFonts w:hint="eastAsia" w:ascii="宋体" w:hAnsi="宋体"/>
          <w:sz w:val="72"/>
          <w:szCs w:val="72"/>
        </w:rPr>
        <w:t>投  标  文  件</w:t>
      </w:r>
    </w:p>
    <w:p>
      <w:pPr>
        <w:pStyle w:val="2"/>
        <w:adjustRightInd w:val="0"/>
        <w:snapToGrid w:val="0"/>
        <w:spacing w:afterLines="50" w:line="300" w:lineRule="auto"/>
        <w:jc w:val="center"/>
        <w:rPr>
          <w:rFonts w:ascii="宋体" w:hAnsi="宋体"/>
          <w:sz w:val="18"/>
          <w:szCs w:val="18"/>
        </w:rPr>
      </w:pPr>
    </w:p>
    <w:p>
      <w:pPr>
        <w:pStyle w:val="2"/>
        <w:adjustRightInd w:val="0"/>
        <w:snapToGrid w:val="0"/>
        <w:spacing w:afterLines="50" w:line="300" w:lineRule="auto"/>
        <w:jc w:val="center"/>
        <w:rPr>
          <w:rFonts w:ascii="宋体" w:hAnsi="宋体"/>
          <w:sz w:val="32"/>
          <w:szCs w:val="32"/>
          <w:u w:val="single"/>
        </w:rPr>
      </w:pPr>
      <w:r>
        <w:rPr>
          <w:rFonts w:hint="eastAsia" w:ascii="宋体" w:hAnsi="宋体"/>
          <w:sz w:val="32"/>
          <w:szCs w:val="32"/>
        </w:rPr>
        <w:t>招标编号：WKZB2212AHJB12252</w:t>
      </w:r>
    </w:p>
    <w:p>
      <w:pPr>
        <w:adjustRightInd w:val="0"/>
        <w:snapToGrid w:val="0"/>
        <w:spacing w:after="120" w:afterLines="50" w:line="300" w:lineRule="auto"/>
        <w:jc w:val="center"/>
        <w:rPr>
          <w:rFonts w:ascii="宋体" w:hAnsi="宋体"/>
          <w:b/>
          <w:sz w:val="24"/>
        </w:rPr>
      </w:pPr>
    </w:p>
    <w:p>
      <w:pPr>
        <w:adjustRightInd w:val="0"/>
        <w:snapToGrid w:val="0"/>
        <w:spacing w:after="120" w:afterLines="50" w:line="300" w:lineRule="auto"/>
        <w:jc w:val="center"/>
        <w:rPr>
          <w:rFonts w:ascii="宋体" w:hAnsi="宋体"/>
          <w:b/>
          <w:sz w:val="24"/>
        </w:rPr>
      </w:pPr>
    </w:p>
    <w:p>
      <w:pPr>
        <w:adjustRightInd w:val="0"/>
        <w:snapToGrid w:val="0"/>
        <w:spacing w:after="120" w:afterLines="50" w:line="300" w:lineRule="auto"/>
        <w:jc w:val="center"/>
        <w:rPr>
          <w:rFonts w:ascii="宋体" w:hAnsi="宋体"/>
          <w:b/>
          <w:sz w:val="24"/>
        </w:rPr>
      </w:pPr>
    </w:p>
    <w:p>
      <w:pPr>
        <w:adjustRightInd w:val="0"/>
        <w:snapToGrid w:val="0"/>
        <w:spacing w:after="120" w:afterLines="50" w:line="300" w:lineRule="auto"/>
        <w:jc w:val="center"/>
        <w:rPr>
          <w:rFonts w:ascii="宋体" w:hAnsi="宋体"/>
          <w:b/>
          <w:sz w:val="24"/>
        </w:rPr>
      </w:pPr>
    </w:p>
    <w:p>
      <w:pPr>
        <w:adjustRightInd w:val="0"/>
        <w:snapToGrid w:val="0"/>
        <w:spacing w:after="120" w:afterLines="50" w:line="300" w:lineRule="auto"/>
        <w:rPr>
          <w:rFonts w:ascii="宋体" w:hAnsi="宋体"/>
          <w:b/>
        </w:rPr>
      </w:pPr>
    </w:p>
    <w:p>
      <w:pPr>
        <w:adjustRightInd w:val="0"/>
        <w:snapToGrid w:val="0"/>
        <w:spacing w:after="120" w:afterLines="50" w:line="300" w:lineRule="auto"/>
        <w:jc w:val="center"/>
        <w:rPr>
          <w:rFonts w:ascii="宋体" w:hAnsi="宋体"/>
          <w:b/>
        </w:rPr>
      </w:pPr>
    </w:p>
    <w:p>
      <w:pPr>
        <w:adjustRightInd w:val="0"/>
        <w:snapToGrid w:val="0"/>
        <w:spacing w:after="120" w:afterLines="50" w:line="300" w:lineRule="auto"/>
        <w:jc w:val="center"/>
        <w:rPr>
          <w:rFonts w:ascii="宋体" w:hAnsi="宋体"/>
          <w:b/>
        </w:rPr>
      </w:pPr>
    </w:p>
    <w:p>
      <w:pPr>
        <w:adjustRightInd w:val="0"/>
        <w:snapToGrid w:val="0"/>
        <w:spacing w:after="120" w:afterLines="50" w:line="300" w:lineRule="auto"/>
        <w:jc w:val="center"/>
        <w:rPr>
          <w:rFonts w:ascii="宋体" w:hAnsi="宋体"/>
          <w:b/>
        </w:rPr>
      </w:pPr>
    </w:p>
    <w:p>
      <w:pPr>
        <w:adjustRightInd w:val="0"/>
        <w:snapToGrid w:val="0"/>
        <w:spacing w:after="120" w:afterLines="50" w:line="300" w:lineRule="auto"/>
        <w:jc w:val="center"/>
        <w:rPr>
          <w:rFonts w:ascii="宋体" w:hAnsi="宋体"/>
          <w:b/>
        </w:rPr>
      </w:pPr>
    </w:p>
    <w:p>
      <w:pPr>
        <w:adjustRightInd w:val="0"/>
        <w:snapToGrid w:val="0"/>
        <w:spacing w:after="120" w:afterLines="50" w:line="300" w:lineRule="auto"/>
        <w:ind w:firstLine="843" w:firstLineChars="300"/>
        <w:rPr>
          <w:rFonts w:ascii="宋体" w:hAnsi="宋体"/>
          <w:b/>
          <w:bCs/>
          <w:sz w:val="28"/>
          <w:u w:val="single"/>
        </w:rPr>
      </w:pPr>
      <w:r>
        <w:rPr>
          <w:rFonts w:hint="eastAsia" w:ascii="宋体" w:hAnsi="宋体"/>
          <w:b/>
          <w:bCs/>
          <w:sz w:val="28"/>
        </w:rPr>
        <w:t>投标文件内容：</w:t>
      </w:r>
      <w:r>
        <w:rPr>
          <w:rFonts w:hint="eastAsia" w:ascii="宋体" w:hAnsi="宋体"/>
          <w:b/>
          <w:bCs/>
          <w:sz w:val="28"/>
          <w:u w:val="single"/>
        </w:rPr>
        <w:t xml:space="preserve">    </w:t>
      </w:r>
      <w:r>
        <w:rPr>
          <w:rFonts w:hint="eastAsia" w:ascii="宋体" w:hAnsi="宋体"/>
          <w:b/>
          <w:bCs/>
          <w:sz w:val="28"/>
          <w:u w:val="single"/>
        </w:rPr>
        <w:tab/>
      </w:r>
      <w:r>
        <w:rPr>
          <w:rFonts w:hint="eastAsia" w:ascii="宋体" w:hAnsi="宋体"/>
          <w:b/>
          <w:bCs/>
          <w:sz w:val="28"/>
          <w:u w:val="single"/>
        </w:rPr>
        <w:t xml:space="preserve"> 投标文件技术标         </w:t>
      </w:r>
      <w:r>
        <w:rPr>
          <w:rFonts w:hint="eastAsia" w:ascii="宋体" w:hAnsi="宋体"/>
          <w:b/>
          <w:bCs/>
          <w:sz w:val="28"/>
          <w:u w:val="single"/>
        </w:rPr>
        <w:tab/>
      </w:r>
      <w:r>
        <w:rPr>
          <w:rFonts w:hint="eastAsia" w:ascii="宋体" w:hAnsi="宋体"/>
          <w:b/>
          <w:bCs/>
          <w:sz w:val="28"/>
          <w:u w:val="single"/>
        </w:rPr>
        <w:t xml:space="preserve">       </w:t>
      </w:r>
    </w:p>
    <w:p>
      <w:pPr>
        <w:adjustRightInd w:val="0"/>
        <w:snapToGrid w:val="0"/>
        <w:spacing w:after="120" w:afterLines="50" w:line="300" w:lineRule="auto"/>
        <w:ind w:firstLine="843" w:firstLineChars="300"/>
        <w:rPr>
          <w:rFonts w:ascii="宋体" w:hAnsi="宋体"/>
          <w:b/>
          <w:bCs/>
          <w:sz w:val="28"/>
        </w:rPr>
      </w:pPr>
      <w:r>
        <w:rPr>
          <w:rFonts w:hint="eastAsia" w:ascii="宋体" w:hAnsi="宋体"/>
          <w:b/>
          <w:bCs/>
          <w:sz w:val="28"/>
        </w:rPr>
        <w:t>投 标 人：</w:t>
      </w:r>
      <w:r>
        <w:rPr>
          <w:rFonts w:hint="eastAsia" w:ascii="宋体" w:hAnsi="宋体"/>
          <w:b/>
          <w:bCs/>
          <w:sz w:val="28"/>
          <w:u w:val="single"/>
        </w:rPr>
        <w:t xml:space="preserve">                   （盖公章）               </w:t>
      </w:r>
    </w:p>
    <w:p>
      <w:pPr>
        <w:pStyle w:val="30"/>
        <w:adjustRightInd w:val="0"/>
        <w:snapToGrid w:val="0"/>
        <w:spacing w:afterLines="50" w:line="300" w:lineRule="auto"/>
        <w:ind w:left="248" w:leftChars="118" w:firstLine="562" w:firstLineChars="200"/>
        <w:rPr>
          <w:rFonts w:ascii="宋体" w:hAnsi="宋体"/>
          <w:b/>
          <w:bCs/>
          <w:sz w:val="28"/>
          <w:u w:val="single"/>
        </w:rPr>
      </w:pPr>
    </w:p>
    <w:p>
      <w:pPr>
        <w:adjustRightInd w:val="0"/>
        <w:snapToGrid w:val="0"/>
        <w:spacing w:after="120" w:afterLines="50" w:line="300" w:lineRule="auto"/>
        <w:ind w:left="838" w:leftChars="399" w:firstLine="3614" w:firstLineChars="1125"/>
        <w:rPr>
          <w:rFonts w:ascii="宋体" w:hAnsi="宋体"/>
          <w:b/>
          <w:bCs/>
          <w:sz w:val="32"/>
        </w:rPr>
      </w:pPr>
    </w:p>
    <w:p>
      <w:pPr>
        <w:adjustRightInd w:val="0"/>
        <w:snapToGrid w:val="0"/>
        <w:spacing w:after="120" w:afterLines="50" w:line="300" w:lineRule="auto"/>
        <w:jc w:val="center"/>
        <w:rPr>
          <w:rFonts w:ascii="宋体" w:hAnsi="宋体"/>
          <w:b/>
          <w:bCs/>
          <w:sz w:val="24"/>
        </w:rPr>
      </w:pPr>
      <w:r>
        <w:rPr>
          <w:rFonts w:hint="eastAsia" w:ascii="宋体" w:hAnsi="宋体"/>
          <w:b/>
          <w:bCs/>
          <w:sz w:val="24"/>
        </w:rPr>
        <w:t>日   期  ：</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pStyle w:val="73"/>
        <w:keepNext w:val="0"/>
        <w:keepLines w:val="0"/>
        <w:spacing w:line="460" w:lineRule="exact"/>
        <w:outlineLvl w:val="9"/>
        <w:rPr>
          <w:rFonts w:ascii="宋体" w:hAnsi="宋体" w:eastAsia="宋体"/>
          <w:b w:val="0"/>
          <w:sz w:val="44"/>
          <w:szCs w:val="44"/>
        </w:rPr>
      </w:pPr>
      <w:r>
        <w:br w:type="page"/>
      </w:r>
      <w:bookmarkEnd w:id="107"/>
      <w:bookmarkEnd w:id="108"/>
      <w:bookmarkEnd w:id="109"/>
    </w:p>
    <w:p>
      <w:pPr>
        <w:adjustRightInd w:val="0"/>
        <w:snapToGrid w:val="0"/>
        <w:spacing w:after="120" w:afterLines="50" w:line="300" w:lineRule="auto"/>
        <w:jc w:val="center"/>
        <w:rPr>
          <w:rFonts w:ascii="宋体"/>
          <w:sz w:val="44"/>
          <w:szCs w:val="44"/>
        </w:rPr>
      </w:pPr>
      <w:bookmarkStart w:id="110" w:name="_Toc15523"/>
      <w:bookmarkStart w:id="111" w:name="_Toc24968"/>
      <w:bookmarkStart w:id="112" w:name="_Toc15263"/>
      <w:bookmarkStart w:id="113" w:name="_Toc14281380"/>
      <w:bookmarkStart w:id="114" w:name="_Toc7135"/>
      <w:bookmarkStart w:id="115" w:name="_Toc11007"/>
      <w:r>
        <w:rPr>
          <w:rFonts w:hint="eastAsia" w:ascii="宋体" w:hAnsi="宋体"/>
          <w:sz w:val="44"/>
          <w:szCs w:val="44"/>
        </w:rPr>
        <w:t>目　录</w:t>
      </w:r>
      <w:bookmarkEnd w:id="110"/>
      <w:bookmarkEnd w:id="111"/>
      <w:bookmarkEnd w:id="112"/>
      <w:bookmarkEnd w:id="113"/>
      <w:bookmarkEnd w:id="114"/>
      <w:bookmarkEnd w:id="115"/>
    </w:p>
    <w:p>
      <w:pPr>
        <w:jc w:val="center"/>
        <w:rPr>
          <w:rFonts w:ascii="宋体"/>
          <w:sz w:val="24"/>
        </w:rPr>
      </w:pPr>
      <w:r>
        <w:rPr>
          <w:rFonts w:hint="eastAsia" w:ascii="宋体" w:hAnsi="宋体"/>
          <w:sz w:val="24"/>
        </w:rPr>
        <w:t>请编制详细的目录和页码</w:t>
      </w:r>
    </w:p>
    <w:p>
      <w:pPr>
        <w:jc w:val="center"/>
        <w:rPr>
          <w:rFonts w:ascii="宋体"/>
          <w:sz w:val="24"/>
        </w:rPr>
      </w:pPr>
      <w:r>
        <w:t>(</w:t>
      </w:r>
      <w:r>
        <w:rPr>
          <w:rFonts w:hint="eastAsia"/>
        </w:rPr>
        <w:t>投标人可自行制作格式</w:t>
      </w:r>
      <w:r>
        <w:t>)</w:t>
      </w:r>
    </w:p>
    <w:p>
      <w:pPr>
        <w:pStyle w:val="139"/>
        <w:spacing w:before="240"/>
        <w:jc w:val="center"/>
        <w:rPr>
          <w:rFonts w:ascii="宋体"/>
        </w:rPr>
      </w:pPr>
      <w:bookmarkStart w:id="116" w:name="_Toc14281381"/>
      <w:bookmarkStart w:id="117" w:name="_Toc28056"/>
      <w:bookmarkStart w:id="118" w:name="_Toc10811"/>
      <w:r>
        <w:rPr>
          <w:rFonts w:hint="eastAsia" w:ascii="宋体" w:hAnsi="宋体"/>
        </w:rPr>
        <w:t>评分资料对照表格式</w:t>
      </w:r>
      <w:bookmarkEnd w:id="116"/>
      <w:bookmarkEnd w:id="117"/>
      <w:bookmarkEnd w:id="118"/>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52"/>
        <w:gridCol w:w="39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jc w:val="left"/>
              <w:rPr>
                <w:rFonts w:ascii="宋体"/>
                <w:b/>
                <w:szCs w:val="21"/>
              </w:rPr>
            </w:pPr>
            <w:r>
              <w:rPr>
                <w:rFonts w:hint="eastAsia" w:ascii="宋体" w:hAnsi="宋体"/>
                <w:b/>
                <w:szCs w:val="21"/>
              </w:rPr>
              <w:t>评分分项</w:t>
            </w:r>
          </w:p>
        </w:tc>
        <w:tc>
          <w:tcPr>
            <w:tcW w:w="852" w:type="dxa"/>
            <w:tcBorders>
              <w:right w:val="single" w:color="auto" w:sz="2" w:space="0"/>
            </w:tcBorders>
            <w:vAlign w:val="center"/>
          </w:tcPr>
          <w:p>
            <w:pPr>
              <w:jc w:val="center"/>
              <w:rPr>
                <w:rFonts w:ascii="宋体"/>
                <w:b/>
                <w:szCs w:val="21"/>
              </w:rPr>
            </w:pPr>
            <w:r>
              <w:rPr>
                <w:rFonts w:hint="eastAsia" w:ascii="宋体" w:hAnsi="宋体"/>
                <w:b/>
                <w:szCs w:val="21"/>
              </w:rPr>
              <w:t>对应</w:t>
            </w:r>
          </w:p>
          <w:p>
            <w:pPr>
              <w:jc w:val="center"/>
              <w:rPr>
                <w:rFonts w:ascii="宋体"/>
                <w:b/>
                <w:szCs w:val="21"/>
              </w:rPr>
            </w:pPr>
            <w:r>
              <w:rPr>
                <w:rFonts w:hint="eastAsia" w:ascii="宋体" w:hAnsi="宋体"/>
                <w:b/>
                <w:szCs w:val="21"/>
              </w:rPr>
              <w:t>序号</w:t>
            </w:r>
          </w:p>
        </w:tc>
        <w:tc>
          <w:tcPr>
            <w:tcW w:w="3960" w:type="dxa"/>
            <w:tcBorders>
              <w:left w:val="single" w:color="auto" w:sz="2" w:space="0"/>
            </w:tcBorders>
            <w:vAlign w:val="center"/>
          </w:tcPr>
          <w:p>
            <w:pPr>
              <w:jc w:val="center"/>
              <w:rPr>
                <w:rFonts w:ascii="宋体"/>
                <w:b/>
                <w:szCs w:val="21"/>
              </w:rPr>
            </w:pPr>
            <w:r>
              <w:rPr>
                <w:rFonts w:hint="eastAsia" w:ascii="宋体" w:hAnsi="宋体"/>
                <w:b/>
                <w:szCs w:val="21"/>
              </w:rPr>
              <w:t>评分内容</w:t>
            </w:r>
          </w:p>
        </w:tc>
        <w:tc>
          <w:tcPr>
            <w:tcW w:w="2340" w:type="dxa"/>
            <w:vAlign w:val="center"/>
          </w:tcPr>
          <w:p>
            <w:pPr>
              <w:ind w:right="210" w:firstLine="641"/>
              <w:jc w:val="center"/>
              <w:rPr>
                <w:rFonts w:ascii="宋体"/>
                <w:b/>
                <w:szCs w:val="21"/>
              </w:rPr>
            </w:pPr>
            <w:r>
              <w:rPr>
                <w:rFonts w:hint="eastAsia" w:ascii="宋体" w:hAnsi="宋体"/>
                <w:b/>
                <w:szCs w:val="21"/>
              </w:rPr>
              <w:t>投标文件</w:t>
            </w:r>
          </w:p>
          <w:p>
            <w:pPr>
              <w:ind w:right="210" w:firstLine="641"/>
              <w:jc w:val="center"/>
              <w:rPr>
                <w:rFonts w:ascii="宋体"/>
                <w:b/>
                <w:szCs w:val="21"/>
              </w:rPr>
            </w:pPr>
            <w:r>
              <w:rPr>
                <w:rFonts w:hint="eastAsia" w:ascii="宋体" w:hAnsi="宋体"/>
                <w:b/>
                <w:szCs w:val="21"/>
              </w:rPr>
              <w:t>对应内容页码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restart"/>
            <w:vAlign w:val="center"/>
          </w:tcPr>
          <w:p>
            <w:pPr>
              <w:jc w:val="cente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vAlign w:val="center"/>
          </w:tcPr>
          <w:p>
            <w:pPr>
              <w:jc w:val="cente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vAlign w:val="center"/>
          </w:tcPr>
          <w:p>
            <w:pPr>
              <w:jc w:val="cente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restart"/>
            <w:vAlign w:val="center"/>
          </w:tcPr>
          <w:p>
            <w:pPr>
              <w:jc w:val="cente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vAlign w:val="center"/>
          </w:tcPr>
          <w:p>
            <w:pPr>
              <w:jc w:val="cente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vAlign w:val="center"/>
          </w:tcPr>
          <w:p>
            <w:pPr>
              <w:jc w:val="cente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restart"/>
            <w:vAlign w:val="center"/>
          </w:tcPr>
          <w:p>
            <w:pPr>
              <w:jc w:val="cente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vAlign w:val="center"/>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restart"/>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restart"/>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6" w:type="dxa"/>
            <w:vMerge w:val="continue"/>
          </w:tcPr>
          <w:p>
            <w:pPr>
              <w:rPr>
                <w:rFonts w:ascii="宋体"/>
                <w:szCs w:val="21"/>
              </w:rPr>
            </w:pPr>
          </w:p>
        </w:tc>
        <w:tc>
          <w:tcPr>
            <w:tcW w:w="852" w:type="dxa"/>
            <w:tcBorders>
              <w:right w:val="single" w:color="auto" w:sz="2" w:space="0"/>
            </w:tcBorders>
          </w:tcPr>
          <w:p>
            <w:pPr>
              <w:rPr>
                <w:rFonts w:ascii="宋体"/>
                <w:szCs w:val="21"/>
              </w:rPr>
            </w:pPr>
          </w:p>
        </w:tc>
        <w:tc>
          <w:tcPr>
            <w:tcW w:w="3960" w:type="dxa"/>
            <w:tcBorders>
              <w:left w:val="single" w:color="auto" w:sz="2" w:space="0"/>
            </w:tcBorders>
          </w:tcPr>
          <w:p>
            <w:pPr>
              <w:rPr>
                <w:rFonts w:ascii="宋体"/>
                <w:szCs w:val="21"/>
              </w:rPr>
            </w:pPr>
          </w:p>
        </w:tc>
        <w:tc>
          <w:tcPr>
            <w:tcW w:w="2340" w:type="dxa"/>
            <w:vAlign w:val="center"/>
          </w:tcPr>
          <w:p>
            <w:pPr>
              <w:rPr>
                <w:rFonts w:asci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bl>
    <w:p>
      <w:pPr>
        <w:spacing w:line="336" w:lineRule="auto"/>
        <w:ind w:firstLine="420" w:firstLineChars="200"/>
        <w:rPr>
          <w:rFonts w:ascii="宋体"/>
          <w:szCs w:val="21"/>
        </w:rPr>
      </w:pPr>
      <w:r>
        <w:rPr>
          <w:rFonts w:hint="eastAsia" w:ascii="宋体" w:hAnsi="宋体"/>
          <w:szCs w:val="21"/>
        </w:rPr>
        <w:t>说明：</w:t>
      </w:r>
    </w:p>
    <w:p>
      <w:pPr>
        <w:spacing w:line="336" w:lineRule="auto"/>
        <w:ind w:firstLine="422" w:firstLineChars="200"/>
        <w:rPr>
          <w:rFonts w:ascii="宋体"/>
          <w:b/>
          <w:szCs w:val="21"/>
        </w:rPr>
      </w:pPr>
      <w:r>
        <w:rPr>
          <w:rFonts w:ascii="宋体" w:hAnsi="宋体"/>
          <w:b/>
          <w:szCs w:val="21"/>
        </w:rPr>
        <w:t>1</w:t>
      </w:r>
      <w:r>
        <w:rPr>
          <w:rFonts w:hint="eastAsia" w:ascii="宋体" w:hAnsi="宋体"/>
          <w:b/>
          <w:szCs w:val="21"/>
        </w:rPr>
        <w:t>、本表中的序号须与第五章“评标办法”评分标准中的序号或顺序相对应。</w:t>
      </w:r>
    </w:p>
    <w:p>
      <w:pPr>
        <w:spacing w:line="336" w:lineRule="auto"/>
        <w:ind w:firstLine="420" w:firstLineChars="200"/>
        <w:rPr>
          <w:rFonts w:ascii="宋体"/>
          <w:szCs w:val="21"/>
        </w:rPr>
      </w:pPr>
      <w:r>
        <w:rPr>
          <w:rFonts w:ascii="宋体" w:hAnsi="宋体"/>
          <w:szCs w:val="21"/>
        </w:rPr>
        <w:t>2</w:t>
      </w:r>
      <w:r>
        <w:rPr>
          <w:rFonts w:hint="eastAsia" w:ascii="宋体" w:hAnsi="宋体"/>
          <w:szCs w:val="21"/>
        </w:rPr>
        <w:t>、本表中的“评分内容”为评标标准的对应内容，“投标文件对应内容页码”栏应填写针对某项具体评标标准在投标人的投标文件中对应该项评标标准的具体资料内容页码。</w:t>
      </w:r>
    </w:p>
    <w:p>
      <w:pPr>
        <w:spacing w:line="336" w:lineRule="auto"/>
        <w:ind w:firstLine="420" w:firstLineChars="200"/>
        <w:rPr>
          <w:rFonts w:ascii="宋体"/>
          <w:szCs w:val="21"/>
        </w:rPr>
      </w:pPr>
      <w:r>
        <w:rPr>
          <w:rFonts w:ascii="宋体" w:hAnsi="宋体"/>
          <w:szCs w:val="21"/>
        </w:rPr>
        <w:t>3</w:t>
      </w:r>
      <w:r>
        <w:rPr>
          <w:rFonts w:hint="eastAsia" w:ascii="宋体" w:hAnsi="宋体"/>
          <w:szCs w:val="21"/>
        </w:rPr>
        <w:t>、上表仅适用于方便评委翻阅、查找资料。投标人应认真填写上表，因投标人误填、漏填相关项或有关页码，评标时以投标文件为准，不作无效标条款或未实质性响应条款；但因影响、误导评委评标等带来的不利后果由投标人自负。</w:t>
      </w:r>
    </w:p>
    <w:p>
      <w:pPr>
        <w:spacing w:line="336" w:lineRule="auto"/>
        <w:ind w:firstLine="422" w:firstLineChars="200"/>
        <w:rPr>
          <w:rFonts w:ascii="宋体"/>
          <w:b/>
          <w:szCs w:val="21"/>
        </w:rPr>
      </w:pPr>
      <w:r>
        <w:rPr>
          <w:rFonts w:ascii="宋体" w:hAnsi="宋体"/>
          <w:b/>
          <w:szCs w:val="21"/>
        </w:rPr>
        <w:t>4</w:t>
      </w:r>
      <w:r>
        <w:rPr>
          <w:rFonts w:hint="eastAsia" w:ascii="宋体" w:hAnsi="宋体"/>
          <w:b/>
          <w:szCs w:val="21"/>
        </w:rPr>
        <w:t>、本表应附在投标文件目录后。</w:t>
      </w:r>
    </w:p>
    <w:p>
      <w:pPr>
        <w:spacing w:line="460" w:lineRule="exact"/>
        <w:ind w:firstLine="420" w:firstLineChars="175"/>
        <w:rPr>
          <w:rFonts w:ascii="宋体" w:hAnsi="宋体"/>
          <w:sz w:val="24"/>
        </w:rPr>
      </w:pPr>
    </w:p>
    <w:p>
      <w:pPr>
        <w:spacing w:line="460" w:lineRule="exact"/>
        <w:ind w:firstLine="420" w:firstLineChars="175"/>
        <w:rPr>
          <w:rFonts w:ascii="宋体" w:hAnsi="宋体"/>
          <w:sz w:val="24"/>
        </w:rPr>
      </w:pPr>
      <w:r>
        <w:rPr>
          <w:rFonts w:hint="eastAsia" w:ascii="宋体" w:hAnsi="宋体"/>
          <w:sz w:val="24"/>
        </w:rPr>
        <w:t>1、资格证明材料</w:t>
      </w:r>
    </w:p>
    <w:p>
      <w:pPr>
        <w:spacing w:line="460" w:lineRule="exact"/>
        <w:ind w:firstLine="420" w:firstLineChars="175"/>
        <w:rPr>
          <w:rFonts w:ascii="宋体" w:hAnsi="宋体"/>
          <w:sz w:val="24"/>
        </w:rPr>
      </w:pPr>
      <w:r>
        <w:rPr>
          <w:rFonts w:hint="eastAsia" w:ascii="宋体" w:hAnsi="宋体"/>
          <w:sz w:val="24"/>
        </w:rPr>
        <w:t>2、投标保证金汇款凭证、开户许可证</w:t>
      </w:r>
    </w:p>
    <w:p>
      <w:pPr>
        <w:autoSpaceDE w:val="0"/>
        <w:autoSpaceDN w:val="0"/>
        <w:adjustRightInd w:val="0"/>
        <w:spacing w:line="460" w:lineRule="exact"/>
        <w:ind w:firstLine="420" w:firstLineChars="175"/>
        <w:rPr>
          <w:rFonts w:ascii="宋体" w:hAnsi="宋体" w:cs="Arial"/>
          <w:sz w:val="24"/>
        </w:rPr>
      </w:pPr>
      <w:r>
        <w:rPr>
          <w:rFonts w:hint="eastAsia" w:ascii="宋体" w:hAnsi="宋体"/>
          <w:sz w:val="24"/>
        </w:rPr>
        <w:t>3、</w:t>
      </w:r>
      <w:r>
        <w:rPr>
          <w:rFonts w:hint="eastAsia" w:ascii="宋体" w:hAnsi="宋体" w:cs="Arial"/>
          <w:sz w:val="24"/>
        </w:rPr>
        <w:t>2019年1月1日以来类似项目业绩</w:t>
      </w:r>
    </w:p>
    <w:p>
      <w:pPr>
        <w:autoSpaceDE w:val="0"/>
        <w:autoSpaceDN w:val="0"/>
        <w:adjustRightInd w:val="0"/>
        <w:spacing w:line="460" w:lineRule="exact"/>
        <w:ind w:firstLine="420" w:firstLineChars="175"/>
        <w:rPr>
          <w:rFonts w:ascii="宋体" w:hAnsi="宋体" w:cs="Arial"/>
          <w:bCs/>
          <w:sz w:val="24"/>
        </w:rPr>
      </w:pPr>
      <w:r>
        <w:rPr>
          <w:rFonts w:hint="eastAsia" w:ascii="宋体" w:hAnsi="宋体" w:cs="Arial"/>
          <w:bCs/>
          <w:sz w:val="24"/>
        </w:rPr>
        <w:t>4、体系证书及资信等级证明材料等</w:t>
      </w:r>
    </w:p>
    <w:p>
      <w:pPr>
        <w:autoSpaceDE w:val="0"/>
        <w:autoSpaceDN w:val="0"/>
        <w:adjustRightInd w:val="0"/>
        <w:spacing w:line="460" w:lineRule="exact"/>
        <w:ind w:firstLine="420" w:firstLineChars="175"/>
        <w:rPr>
          <w:rFonts w:ascii="宋体" w:hAnsi="宋体" w:cs="Arial"/>
          <w:bCs/>
          <w:sz w:val="24"/>
        </w:rPr>
      </w:pPr>
      <w:r>
        <w:rPr>
          <w:rFonts w:hint="eastAsia" w:ascii="宋体" w:hAnsi="宋体" w:cs="Arial"/>
          <w:bCs/>
          <w:sz w:val="24"/>
        </w:rPr>
        <w:t>5、供货设备及安装材料</w:t>
      </w:r>
    </w:p>
    <w:p>
      <w:pPr>
        <w:autoSpaceDE w:val="0"/>
        <w:autoSpaceDN w:val="0"/>
        <w:adjustRightInd w:val="0"/>
        <w:spacing w:line="460" w:lineRule="exact"/>
        <w:ind w:firstLine="420" w:firstLineChars="175"/>
        <w:rPr>
          <w:rFonts w:ascii="宋体" w:hAnsi="宋体" w:cs="Arial"/>
          <w:bCs/>
          <w:sz w:val="24"/>
        </w:rPr>
      </w:pPr>
      <w:r>
        <w:rPr>
          <w:rFonts w:hint="eastAsia" w:ascii="宋体" w:hAnsi="宋体" w:cs="Arial"/>
          <w:bCs/>
          <w:sz w:val="24"/>
        </w:rPr>
        <w:t>投标文件应对供货范围内设备及安装材料的品牌、产地、性能主要技术参数进行详细描述，提供主要部件清单、主要产品样本投标设备简介、彩页及主要技术指标响应表；</w:t>
      </w:r>
    </w:p>
    <w:p>
      <w:pPr>
        <w:autoSpaceDE w:val="0"/>
        <w:autoSpaceDN w:val="0"/>
        <w:adjustRightInd w:val="0"/>
        <w:spacing w:line="460" w:lineRule="exact"/>
        <w:ind w:firstLine="420" w:firstLineChars="175"/>
        <w:rPr>
          <w:rFonts w:ascii="宋体" w:hAnsi="宋体" w:cs="Arial"/>
          <w:bCs/>
          <w:sz w:val="24"/>
        </w:rPr>
      </w:pPr>
      <w:r>
        <w:rPr>
          <w:rFonts w:hint="eastAsia" w:ascii="宋体" w:hAnsi="宋体" w:cs="Arial"/>
          <w:bCs/>
          <w:sz w:val="24"/>
        </w:rPr>
        <w:t>6、投标人认为需要提供的其他资料</w:t>
      </w:r>
    </w:p>
    <w:p>
      <w:pPr>
        <w:autoSpaceDE w:val="0"/>
        <w:autoSpaceDN w:val="0"/>
        <w:adjustRightInd w:val="0"/>
        <w:spacing w:line="460" w:lineRule="exact"/>
        <w:ind w:firstLine="840" w:firstLineChars="300"/>
        <w:rPr>
          <w:rFonts w:ascii="宋体" w:hAnsi="宋体" w:cs="Arial"/>
          <w:bCs/>
          <w:sz w:val="28"/>
          <w:szCs w:val="28"/>
        </w:rPr>
      </w:pPr>
    </w:p>
    <w:p>
      <w:pPr>
        <w:autoSpaceDE w:val="0"/>
        <w:autoSpaceDN w:val="0"/>
        <w:adjustRightInd w:val="0"/>
        <w:spacing w:line="460" w:lineRule="exact"/>
        <w:ind w:firstLine="840" w:firstLineChars="300"/>
        <w:rPr>
          <w:rFonts w:ascii="宋体" w:hAnsi="宋体" w:cs="Arial"/>
          <w:bCs/>
          <w:sz w:val="28"/>
          <w:szCs w:val="28"/>
        </w:rPr>
      </w:pPr>
    </w:p>
    <w:p>
      <w:pPr>
        <w:spacing w:line="460" w:lineRule="exact"/>
        <w:ind w:left="840" w:hanging="840"/>
        <w:rPr>
          <w:rFonts w:ascii="宋体" w:hAnsi="宋体"/>
          <w:sz w:val="28"/>
          <w:szCs w:val="28"/>
        </w:rPr>
      </w:pPr>
    </w:p>
    <w:p>
      <w:pPr>
        <w:spacing w:line="460" w:lineRule="exact"/>
        <w:ind w:left="840" w:hanging="840"/>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spacing w:line="460" w:lineRule="exact"/>
        <w:ind w:left="840" w:hanging="840"/>
        <w:jc w:val="center"/>
        <w:rPr>
          <w:rFonts w:ascii="宋体" w:hAnsi="宋体"/>
          <w:sz w:val="24"/>
        </w:rPr>
      </w:pPr>
    </w:p>
    <w:p>
      <w:pPr>
        <w:pStyle w:val="121"/>
        <w:keepNext w:val="0"/>
        <w:keepLines w:val="0"/>
        <w:spacing w:line="460" w:lineRule="exact"/>
        <w:jc w:val="center"/>
        <w:outlineLvl w:val="9"/>
        <w:rPr>
          <w:rFonts w:ascii="宋体" w:hAnsi="宋体"/>
          <w:b w:val="0"/>
        </w:rPr>
      </w:pPr>
      <w:bookmarkStart w:id="119" w:name="_Toc180993048"/>
      <w:bookmarkStart w:id="120" w:name="_Toc178044914"/>
    </w:p>
    <w:p>
      <w:pPr>
        <w:pStyle w:val="121"/>
        <w:keepNext w:val="0"/>
        <w:keepLines w:val="0"/>
        <w:spacing w:line="460" w:lineRule="exact"/>
        <w:jc w:val="center"/>
        <w:outlineLvl w:val="9"/>
        <w:rPr>
          <w:rFonts w:ascii="宋体" w:hAnsi="宋体"/>
          <w:b w:val="0"/>
        </w:rPr>
      </w:pPr>
    </w:p>
    <w:p>
      <w:pPr>
        <w:pStyle w:val="121"/>
        <w:keepNext w:val="0"/>
        <w:keepLines w:val="0"/>
        <w:spacing w:line="460" w:lineRule="exact"/>
        <w:jc w:val="center"/>
        <w:outlineLvl w:val="9"/>
        <w:rPr>
          <w:rFonts w:ascii="宋体" w:hAnsi="宋体"/>
          <w:b w:val="0"/>
        </w:rPr>
      </w:pPr>
    </w:p>
    <w:bookmarkEnd w:id="119"/>
    <w:bookmarkEnd w:id="120"/>
    <w:p>
      <w:pPr>
        <w:pStyle w:val="121"/>
        <w:keepNext w:val="0"/>
        <w:keepLines w:val="0"/>
        <w:spacing w:line="460" w:lineRule="exact"/>
        <w:jc w:val="center"/>
        <w:outlineLvl w:val="9"/>
        <w:rPr>
          <w:rFonts w:ascii="宋体" w:hAnsi="宋体" w:eastAsia="宋体" w:cs="宋体"/>
        </w:rPr>
      </w:pPr>
      <w:bookmarkStart w:id="121" w:name="_Toc356993565"/>
      <w:bookmarkStart w:id="122" w:name="_Toc484070279"/>
      <w:r>
        <w:rPr>
          <w:rFonts w:hint="eastAsia" w:ascii="宋体" w:hAnsi="宋体" w:eastAsia="宋体" w:cs="宋体"/>
        </w:rPr>
        <w:t>1、</w:t>
      </w:r>
      <w:bookmarkEnd w:id="121"/>
      <w:r>
        <w:rPr>
          <w:rFonts w:hint="eastAsia" w:ascii="宋体" w:hAnsi="宋体" w:eastAsia="宋体" w:cs="宋体"/>
        </w:rPr>
        <w:t>资格证明材料</w:t>
      </w:r>
      <w:bookmarkEnd w:id="122"/>
    </w:p>
    <w:p>
      <w:pPr>
        <w:jc w:val="center"/>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（1）法定代表人身份证明</w:t>
      </w:r>
    </w:p>
    <w:p>
      <w:pPr>
        <w:spacing w:line="360" w:lineRule="auto"/>
        <w:rPr>
          <w:rFonts w:ascii="宋体" w:hAnsi="宋体"/>
          <w:sz w:val="72"/>
          <w:szCs w:val="72"/>
        </w:rPr>
      </w:pPr>
    </w:p>
    <w:p>
      <w:pPr>
        <w:spacing w:line="360" w:lineRule="auto"/>
        <w:ind w:firstLine="480" w:firstLineChars="200"/>
        <w:rPr>
          <w:rFonts w:ascii="宋体" w:hAnsi="宋体"/>
          <w:sz w:val="24"/>
        </w:rPr>
      </w:pPr>
      <w:r>
        <w:rPr>
          <w:rFonts w:hint="eastAsia" w:ascii="宋体" w:hAnsi="宋体"/>
          <w:sz w:val="24"/>
        </w:rPr>
        <w:t>投标人名称：</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单位性质：</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经营期限：</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_</w:t>
      </w:r>
    </w:p>
    <w:p>
      <w:pPr>
        <w:spacing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360" w:lineRule="auto"/>
        <w:ind w:firstLine="960" w:firstLineChars="400"/>
        <w:rPr>
          <w:rFonts w:ascii="宋体" w:hAnsi="宋体"/>
          <w:sz w:val="24"/>
        </w:rPr>
      </w:pPr>
      <w:r>
        <w:rPr>
          <w:rFonts w:hint="eastAsia" w:ascii="宋体" w:hAnsi="宋体"/>
          <w:sz w:val="24"/>
        </w:rPr>
        <w:t>特此证明。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投标人：</w:t>
      </w:r>
      <w:r>
        <w:rPr>
          <w:rFonts w:hint="eastAsia" w:ascii="宋体" w:hAnsi="宋体"/>
          <w:sz w:val="24"/>
          <w:u w:val="single"/>
        </w:rPr>
        <w:t xml:space="preserve">                   （盖单位章）</w:t>
      </w:r>
    </w:p>
    <w:p>
      <w:pPr>
        <w:spacing w:line="360" w:lineRule="auto"/>
        <w:ind w:firstLine="5160" w:firstLineChars="2150"/>
        <w:rPr>
          <w:rFonts w:ascii="宋体" w:hAnsi="宋体"/>
          <w:sz w:val="24"/>
          <w:u w:val="single"/>
        </w:rPr>
      </w:pPr>
    </w:p>
    <w:p>
      <w:pPr>
        <w:spacing w:line="360" w:lineRule="auto"/>
        <w:ind w:firstLine="5520" w:firstLineChars="23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ascii="宋体" w:hAnsi="宋体"/>
          <w:b/>
          <w:bCs/>
          <w:sz w:val="24"/>
        </w:rPr>
      </w:pPr>
    </w:p>
    <w:p>
      <w:pPr>
        <w:spacing w:line="360" w:lineRule="auto"/>
        <w:rPr>
          <w:rFonts w:ascii="宋体" w:hAnsi="宋体"/>
          <w:sz w:val="24"/>
        </w:rPr>
      </w:pPr>
      <w:r>
        <w:rPr>
          <w:rFonts w:hint="eastAsia" w:ascii="宋体" w:hAnsi="宋体"/>
          <w:b/>
          <w:bCs/>
          <w:sz w:val="24"/>
        </w:rPr>
        <w:t>附：法定代表人身份证复印件</w:t>
      </w:r>
      <w:r>
        <w:rPr>
          <w:rFonts w:hint="eastAsia" w:hAnsi="宋体"/>
          <w:b/>
          <w:bCs/>
          <w:sz w:val="24"/>
        </w:rPr>
        <w:t>（</w:t>
      </w:r>
      <w:r>
        <w:rPr>
          <w:rFonts w:hint="eastAsia" w:ascii="宋体" w:hAnsi="宋体"/>
          <w:b/>
          <w:bCs/>
          <w:sz w:val="24"/>
        </w:rPr>
        <w:t>加盖公章</w:t>
      </w:r>
      <w:r>
        <w:rPr>
          <w:rFonts w:hint="eastAsia" w:hAnsi="宋体"/>
          <w:b/>
          <w:bCs/>
          <w:sz w:val="24"/>
        </w:rPr>
        <w:t>）</w:t>
      </w:r>
    </w:p>
    <w:p>
      <w:pPr>
        <w:pStyle w:val="22"/>
      </w:pPr>
    </w:p>
    <w:p>
      <w:pPr>
        <w:spacing w:line="360" w:lineRule="auto"/>
        <w:ind w:firstLine="5160" w:firstLineChars="2150"/>
        <w:rPr>
          <w:rFonts w:ascii="宋体" w:hAnsi="宋体"/>
          <w:sz w:val="24"/>
        </w:rPr>
      </w:pPr>
    </w:p>
    <w:p>
      <w:pPr>
        <w:spacing w:after="240" w:afterLines="100" w:line="460" w:lineRule="exact"/>
        <w:jc w:val="center"/>
        <w:rPr>
          <w:rFonts w:ascii="宋体" w:hAnsi="宋体"/>
          <w:b/>
          <w:sz w:val="24"/>
        </w:rPr>
      </w:pPr>
    </w:p>
    <w:p>
      <w:pPr>
        <w:spacing w:after="240" w:afterLines="100" w:line="460" w:lineRule="exact"/>
        <w:jc w:val="center"/>
        <w:rPr>
          <w:rFonts w:ascii="宋体" w:hAnsi="宋体" w:cs="Arial"/>
          <w:b/>
          <w:sz w:val="28"/>
          <w:szCs w:val="28"/>
        </w:rPr>
      </w:pPr>
      <w:r>
        <w:rPr>
          <w:rFonts w:ascii="宋体" w:hAnsi="宋体"/>
          <w:b/>
          <w:sz w:val="24"/>
        </w:rPr>
        <w:br w:type="page"/>
      </w:r>
      <w:r>
        <w:rPr>
          <w:rFonts w:hint="eastAsia" w:ascii="宋体" w:hAnsi="宋体" w:cs="宋体"/>
          <w:b/>
          <w:sz w:val="28"/>
          <w:szCs w:val="28"/>
        </w:rPr>
        <w:t>（2）法</w:t>
      </w:r>
      <w:r>
        <w:rPr>
          <w:rFonts w:hint="eastAsia" w:ascii="宋体" w:hAnsi="宋体"/>
          <w:b/>
          <w:sz w:val="28"/>
          <w:szCs w:val="28"/>
        </w:rPr>
        <w:t>人</w:t>
      </w:r>
      <w:r>
        <w:rPr>
          <w:rFonts w:ascii="宋体" w:hAnsi="宋体" w:cs="Arial"/>
          <w:b/>
          <w:sz w:val="28"/>
          <w:szCs w:val="28"/>
        </w:rPr>
        <w:t>授权委托书</w:t>
      </w:r>
    </w:p>
    <w:p>
      <w:pPr>
        <w:spacing w:line="460" w:lineRule="exact"/>
        <w:jc w:val="center"/>
        <w:rPr>
          <w:rFonts w:ascii="宋体" w:hAnsi="宋体" w:cs="Arial"/>
          <w:sz w:val="24"/>
        </w:rPr>
      </w:pPr>
    </w:p>
    <w:p>
      <w:pPr>
        <w:spacing w:line="460" w:lineRule="exact"/>
        <w:rPr>
          <w:rFonts w:ascii="宋体" w:hAnsi="宋体" w:cs="Arial"/>
          <w:sz w:val="24"/>
        </w:rPr>
      </w:pPr>
      <w:r>
        <w:rPr>
          <w:rFonts w:hint="eastAsia" w:ascii="宋体" w:hAnsi="宋体" w:cs="Arial"/>
          <w:sz w:val="24"/>
          <w:u w:val="single"/>
        </w:rPr>
        <w:t>五矿国际招标有限责任公司</w:t>
      </w:r>
      <w:r>
        <w:rPr>
          <w:rFonts w:hint="eastAsia" w:ascii="宋体" w:hAnsi="宋体" w:cs="Arial"/>
          <w:sz w:val="24"/>
        </w:rPr>
        <w:t>：</w:t>
      </w:r>
    </w:p>
    <w:p>
      <w:pPr>
        <w:spacing w:line="460" w:lineRule="exact"/>
        <w:rPr>
          <w:rFonts w:ascii="宋体" w:hAnsi="宋体" w:cs="Arial"/>
          <w:sz w:val="24"/>
        </w:rPr>
      </w:pPr>
      <w:r>
        <w:rPr>
          <w:rFonts w:hint="eastAsia" w:ascii="宋体" w:hAnsi="宋体" w:cs="Arial"/>
          <w:sz w:val="24"/>
        </w:rPr>
        <w:t xml:space="preserve">    现委派</w:t>
      </w:r>
      <w:r>
        <w:rPr>
          <w:rFonts w:hint="eastAsia" w:ascii="宋体" w:hAnsi="宋体" w:cs="Arial"/>
          <w:sz w:val="24"/>
          <w:u w:val="single"/>
        </w:rPr>
        <w:t xml:space="preserve">      </w:t>
      </w:r>
      <w:r>
        <w:rPr>
          <w:rFonts w:hint="eastAsia" w:ascii="宋体" w:hAnsi="宋体" w:cs="Arial"/>
          <w:sz w:val="24"/>
        </w:rPr>
        <w:t>（授权人姓名）参加你单位组织的</w:t>
      </w:r>
      <w:r>
        <w:rPr>
          <w:rFonts w:hint="eastAsia" w:ascii="宋体" w:hAnsi="宋体"/>
          <w:sz w:val="24"/>
          <w:u w:val="single"/>
        </w:rPr>
        <w:t xml:space="preserve">            </w:t>
      </w:r>
      <w:r>
        <w:rPr>
          <w:rFonts w:hint="eastAsia" w:ascii="宋体" w:hAnsi="宋体" w:cs="Arial"/>
          <w:sz w:val="24"/>
        </w:rPr>
        <w:t>项目的招标活动（招标编号：</w:t>
      </w:r>
      <w:r>
        <w:rPr>
          <w:rStyle w:val="59"/>
          <w:rFonts w:hint="eastAsia" w:ascii="宋体" w:hAnsi="宋体"/>
          <w:color w:val="auto"/>
          <w:sz w:val="24"/>
          <w:u w:val="single"/>
        </w:rPr>
        <w:t xml:space="preserve">        </w:t>
      </w:r>
      <w:r>
        <w:rPr>
          <w:rFonts w:hint="eastAsia" w:ascii="宋体" w:hAnsi="宋体" w:cs="Arial"/>
          <w:sz w:val="24"/>
        </w:rPr>
        <w:t>），全权代表我单位（或</w:t>
      </w:r>
      <w:r>
        <w:rPr>
          <w:rFonts w:hint="eastAsia" w:ascii="宋体" w:hAnsi="宋体" w:cs="Arial"/>
          <w:sz w:val="24"/>
          <w:u w:val="single"/>
        </w:rPr>
        <w:t>我本人</w:t>
      </w:r>
      <w:r>
        <w:rPr>
          <w:rFonts w:hint="eastAsia" w:ascii="宋体" w:hAnsi="宋体" w:cs="Arial"/>
          <w:sz w:val="24"/>
        </w:rPr>
        <w:t>）投标，签署合同及处理一切与招标有关事宜。</w:t>
      </w:r>
    </w:p>
    <w:p>
      <w:pPr>
        <w:spacing w:line="460" w:lineRule="exact"/>
        <w:rPr>
          <w:rFonts w:ascii="宋体" w:hAnsi="宋体" w:cs="Arial"/>
          <w:sz w:val="24"/>
        </w:rPr>
      </w:pPr>
    </w:p>
    <w:p>
      <w:pPr>
        <w:spacing w:line="460" w:lineRule="exact"/>
        <w:rPr>
          <w:rFonts w:ascii="宋体" w:hAnsi="宋体" w:cs="Arial"/>
          <w:sz w:val="24"/>
        </w:rPr>
      </w:pPr>
      <w:r>
        <w:rPr>
          <w:rFonts w:hint="eastAsia" w:ascii="宋体" w:hAnsi="宋体" w:cs="Arial"/>
          <w:sz w:val="24"/>
        </w:rPr>
        <w:t xml:space="preserve">    附：授权代表情况</w:t>
      </w:r>
    </w:p>
    <w:p>
      <w:pPr>
        <w:spacing w:line="460" w:lineRule="exact"/>
        <w:rPr>
          <w:rFonts w:ascii="宋体" w:hAnsi="宋体" w:cs="Arial"/>
          <w:sz w:val="24"/>
        </w:rPr>
      </w:pPr>
      <w:r>
        <w:rPr>
          <w:rFonts w:hint="eastAsia" w:ascii="宋体" w:hAnsi="宋体" w:cs="Arial"/>
          <w:sz w:val="24"/>
        </w:rPr>
        <w:t xml:space="preserve">    姓    名：</w:t>
      </w:r>
      <w:r>
        <w:rPr>
          <w:rFonts w:hint="eastAsia" w:ascii="宋体" w:hAnsi="宋体" w:cs="Arial"/>
          <w:sz w:val="24"/>
          <w:u w:val="single"/>
        </w:rPr>
        <w:t xml:space="preserve">              </w:t>
      </w:r>
      <w:r>
        <w:rPr>
          <w:rFonts w:hint="eastAsia" w:ascii="宋体" w:hAnsi="宋体" w:cs="Arial"/>
          <w:sz w:val="24"/>
        </w:rPr>
        <w:t xml:space="preserve"> </w:t>
      </w:r>
    </w:p>
    <w:p>
      <w:pPr>
        <w:spacing w:line="460" w:lineRule="exact"/>
        <w:rPr>
          <w:rFonts w:ascii="宋体" w:hAnsi="宋体" w:cs="Arial"/>
          <w:sz w:val="24"/>
        </w:rPr>
      </w:pPr>
      <w:r>
        <w:rPr>
          <w:rFonts w:hint="eastAsia" w:ascii="宋体" w:hAnsi="宋体" w:cs="Arial"/>
          <w:sz w:val="24"/>
        </w:rPr>
        <w:t xml:space="preserve">    姓    别：</w:t>
      </w:r>
      <w:r>
        <w:rPr>
          <w:rFonts w:hint="eastAsia" w:ascii="宋体" w:hAnsi="宋体" w:cs="Arial"/>
          <w:sz w:val="24"/>
          <w:u w:val="single"/>
        </w:rPr>
        <w:t xml:space="preserve">              </w:t>
      </w:r>
    </w:p>
    <w:p>
      <w:pPr>
        <w:spacing w:line="460" w:lineRule="exact"/>
        <w:rPr>
          <w:rFonts w:ascii="宋体" w:hAnsi="宋体" w:cs="Arial"/>
          <w:sz w:val="24"/>
        </w:rPr>
      </w:pPr>
      <w:r>
        <w:rPr>
          <w:rFonts w:hint="eastAsia" w:ascii="宋体" w:hAnsi="宋体" w:cs="Arial"/>
          <w:sz w:val="24"/>
        </w:rPr>
        <w:t xml:space="preserve">    职    务：</w:t>
      </w:r>
      <w:r>
        <w:rPr>
          <w:rFonts w:hint="eastAsia" w:ascii="宋体" w:hAnsi="宋体" w:cs="Arial"/>
          <w:sz w:val="24"/>
          <w:u w:val="single"/>
        </w:rPr>
        <w:t xml:space="preserve">              </w:t>
      </w:r>
    </w:p>
    <w:p>
      <w:pPr>
        <w:tabs>
          <w:tab w:val="left" w:pos="5295"/>
        </w:tabs>
        <w:spacing w:line="460" w:lineRule="exact"/>
        <w:rPr>
          <w:rFonts w:ascii="宋体" w:hAnsi="宋体" w:cs="Arial"/>
          <w:sz w:val="24"/>
        </w:rPr>
      </w:pPr>
      <w:r>
        <w:rPr>
          <w:rFonts w:hint="eastAsia" w:ascii="宋体" w:hAnsi="宋体" w:cs="Arial"/>
          <w:sz w:val="24"/>
        </w:rPr>
        <w:t xml:space="preserve">    通讯地址：</w:t>
      </w:r>
      <w:r>
        <w:rPr>
          <w:rFonts w:hint="eastAsia" w:ascii="宋体" w:hAnsi="宋体" w:cs="Arial"/>
          <w:sz w:val="24"/>
          <w:u w:val="single"/>
        </w:rPr>
        <w:t xml:space="preserve">                                </w:t>
      </w:r>
      <w:r>
        <w:rPr>
          <w:rFonts w:ascii="宋体" w:hAnsi="宋体" w:cs="Arial"/>
          <w:sz w:val="24"/>
        </w:rPr>
        <w:tab/>
      </w:r>
    </w:p>
    <w:p>
      <w:pPr>
        <w:spacing w:line="460" w:lineRule="exact"/>
        <w:rPr>
          <w:rFonts w:ascii="宋体" w:hAnsi="宋体" w:cs="Arial"/>
          <w:sz w:val="24"/>
        </w:rPr>
      </w:pPr>
      <w:r>
        <w:rPr>
          <w:rFonts w:hint="eastAsia" w:ascii="宋体" w:hAnsi="宋体" w:cs="Arial"/>
          <w:sz w:val="24"/>
        </w:rPr>
        <w:t xml:space="preserve">    邮政编码：</w:t>
      </w:r>
      <w:r>
        <w:rPr>
          <w:rFonts w:hint="eastAsia" w:ascii="宋体" w:hAnsi="宋体" w:cs="Arial"/>
          <w:sz w:val="24"/>
          <w:u w:val="single"/>
        </w:rPr>
        <w:t xml:space="preserve">              </w:t>
      </w:r>
    </w:p>
    <w:p>
      <w:pPr>
        <w:spacing w:line="460" w:lineRule="exact"/>
        <w:rPr>
          <w:rFonts w:ascii="宋体" w:hAnsi="宋体" w:cs="Arial"/>
          <w:sz w:val="24"/>
        </w:rPr>
      </w:pPr>
      <w:r>
        <w:rPr>
          <w:rFonts w:hint="eastAsia" w:ascii="宋体" w:hAnsi="宋体" w:cs="Arial"/>
          <w:sz w:val="24"/>
        </w:rPr>
        <w:t xml:space="preserve">    电    话：</w:t>
      </w:r>
      <w:r>
        <w:rPr>
          <w:rFonts w:hint="eastAsia" w:ascii="宋体" w:hAnsi="宋体" w:cs="Arial"/>
          <w:sz w:val="24"/>
          <w:u w:val="single"/>
        </w:rPr>
        <w:t xml:space="preserve">              </w:t>
      </w:r>
    </w:p>
    <w:p>
      <w:pPr>
        <w:spacing w:line="460" w:lineRule="exact"/>
        <w:rPr>
          <w:rFonts w:ascii="宋体" w:hAnsi="宋体" w:cs="Arial"/>
          <w:sz w:val="24"/>
        </w:rPr>
      </w:pPr>
      <w:r>
        <w:rPr>
          <w:rFonts w:hint="eastAsia" w:ascii="宋体" w:hAnsi="宋体" w:cs="Arial"/>
          <w:sz w:val="24"/>
        </w:rPr>
        <w:t xml:space="preserve">    传    真：</w:t>
      </w:r>
      <w:r>
        <w:rPr>
          <w:rFonts w:hint="eastAsia" w:ascii="宋体" w:hAnsi="宋体" w:cs="Arial"/>
          <w:sz w:val="24"/>
          <w:u w:val="single"/>
        </w:rPr>
        <w:t xml:space="preserve">              </w:t>
      </w:r>
    </w:p>
    <w:p>
      <w:pPr>
        <w:spacing w:line="460" w:lineRule="exact"/>
        <w:rPr>
          <w:rFonts w:ascii="宋体" w:hAnsi="宋体" w:cs="Arial"/>
          <w:sz w:val="24"/>
        </w:rPr>
      </w:pPr>
      <w:r>
        <w:rPr>
          <w:rFonts w:hint="eastAsia" w:ascii="宋体" w:hAnsi="宋体" w:cs="Arial"/>
          <w:sz w:val="24"/>
        </w:rPr>
        <w:t xml:space="preserve">    授权单位名称：</w:t>
      </w:r>
      <w:r>
        <w:rPr>
          <w:rFonts w:hint="eastAsia" w:ascii="宋体" w:hAnsi="宋体" w:cs="Arial"/>
          <w:sz w:val="24"/>
          <w:u w:val="single"/>
        </w:rPr>
        <w:t xml:space="preserve">                            </w:t>
      </w:r>
    </w:p>
    <w:p>
      <w:pPr>
        <w:spacing w:line="460" w:lineRule="exact"/>
        <w:rPr>
          <w:rFonts w:ascii="宋体" w:hAnsi="宋体" w:cs="Arial"/>
          <w:sz w:val="24"/>
        </w:rPr>
      </w:pPr>
      <w:r>
        <w:rPr>
          <w:rFonts w:hint="eastAsia" w:ascii="宋体" w:hAnsi="宋体" w:cs="Arial"/>
          <w:sz w:val="24"/>
        </w:rPr>
        <w:t xml:space="preserve">    （盖    章）</w:t>
      </w:r>
    </w:p>
    <w:p>
      <w:pPr>
        <w:spacing w:line="460" w:lineRule="exact"/>
        <w:rPr>
          <w:rFonts w:ascii="宋体" w:hAnsi="宋体" w:cs="Arial"/>
          <w:sz w:val="24"/>
        </w:rPr>
      </w:pPr>
      <w:r>
        <w:rPr>
          <w:rFonts w:hint="eastAsia" w:ascii="宋体" w:hAnsi="宋体" w:cs="Arial"/>
          <w:sz w:val="24"/>
        </w:rPr>
        <w:t xml:space="preserve">    法 人 代 表：</w:t>
      </w:r>
      <w:r>
        <w:rPr>
          <w:rFonts w:hint="eastAsia" w:ascii="宋体" w:hAnsi="宋体" w:cs="Arial"/>
          <w:sz w:val="24"/>
          <w:u w:val="single"/>
        </w:rPr>
        <w:t xml:space="preserve">              </w:t>
      </w:r>
    </w:p>
    <w:p>
      <w:pPr>
        <w:spacing w:line="460" w:lineRule="exact"/>
        <w:rPr>
          <w:rFonts w:ascii="宋体" w:hAnsi="宋体" w:cs="Arial"/>
          <w:sz w:val="24"/>
        </w:rPr>
      </w:pPr>
      <w:r>
        <w:rPr>
          <w:rFonts w:hint="eastAsia" w:ascii="宋体" w:hAnsi="宋体" w:cs="Arial"/>
          <w:sz w:val="24"/>
        </w:rPr>
        <w:t xml:space="preserve">    （签    字）</w:t>
      </w:r>
    </w:p>
    <w:p>
      <w:pPr>
        <w:spacing w:line="460" w:lineRule="exact"/>
        <w:rPr>
          <w:rFonts w:ascii="宋体" w:hAnsi="宋体" w:cs="Arial"/>
          <w:sz w:val="24"/>
        </w:rPr>
      </w:pPr>
      <w:r>
        <w:rPr>
          <w:rFonts w:hint="eastAsia" w:ascii="宋体" w:hAnsi="宋体" w:cs="Arial"/>
          <w:sz w:val="24"/>
        </w:rPr>
        <w:t xml:space="preserve">    授 权 代 表：</w:t>
      </w:r>
      <w:r>
        <w:rPr>
          <w:rFonts w:hint="eastAsia" w:ascii="宋体" w:hAnsi="宋体" w:cs="Arial"/>
          <w:sz w:val="24"/>
          <w:u w:val="single"/>
        </w:rPr>
        <w:t xml:space="preserve">              </w:t>
      </w:r>
    </w:p>
    <w:p>
      <w:pPr>
        <w:spacing w:line="460" w:lineRule="exact"/>
        <w:rPr>
          <w:rFonts w:ascii="宋体" w:hAnsi="宋体" w:cs="Arial"/>
          <w:sz w:val="24"/>
        </w:rPr>
      </w:pPr>
      <w:r>
        <w:rPr>
          <w:rFonts w:hint="eastAsia" w:ascii="宋体" w:hAnsi="宋体" w:cs="Arial"/>
          <w:sz w:val="24"/>
        </w:rPr>
        <w:t xml:space="preserve">    （签    字）</w:t>
      </w:r>
    </w:p>
    <w:p>
      <w:pPr>
        <w:spacing w:line="460" w:lineRule="exact"/>
        <w:ind w:firstLine="570"/>
        <w:rPr>
          <w:rFonts w:ascii="宋体" w:hAnsi="宋体" w:cs="Arial"/>
          <w:sz w:val="24"/>
        </w:rPr>
      </w:pPr>
      <w:r>
        <w:rPr>
          <w:rFonts w:hint="eastAsia" w:ascii="宋体" w:hAnsi="宋体" w:cs="Arial"/>
          <w:sz w:val="24"/>
        </w:rPr>
        <w:t xml:space="preserve">                                           </w:t>
      </w:r>
    </w:p>
    <w:p>
      <w:pPr>
        <w:spacing w:line="460" w:lineRule="exact"/>
        <w:ind w:firstLine="4956" w:firstLineChars="2065"/>
        <w:rPr>
          <w:rFonts w:ascii="宋体" w:hAnsi="宋体" w:cs="Arial"/>
          <w:sz w:val="24"/>
        </w:rPr>
      </w:pPr>
      <w:r>
        <w:rPr>
          <w:rFonts w:hint="eastAsia" w:ascii="宋体" w:hAnsi="宋体" w:cs="Arial"/>
          <w:sz w:val="24"/>
        </w:rPr>
        <w:t xml:space="preserve"> 年   月   日</w:t>
      </w:r>
    </w:p>
    <w:p>
      <w:pPr>
        <w:pStyle w:val="22"/>
        <w:rPr>
          <w:rFonts w:hAnsi="宋体"/>
          <w:b/>
          <w:bCs/>
          <w:sz w:val="24"/>
        </w:rPr>
      </w:pPr>
    </w:p>
    <w:p>
      <w:pPr>
        <w:pStyle w:val="22"/>
      </w:pPr>
      <w:r>
        <w:rPr>
          <w:rFonts w:hint="eastAsia" w:hAnsi="宋体"/>
          <w:b/>
          <w:bCs/>
          <w:sz w:val="24"/>
        </w:rPr>
        <w:t>附：授权代表人身份证复印件（加盖公章）</w:t>
      </w:r>
    </w:p>
    <w:p>
      <w:pPr>
        <w:spacing w:line="460" w:lineRule="exact"/>
        <w:jc w:val="center"/>
        <w:rPr>
          <w:rFonts w:ascii="宋体" w:hAnsi="宋体"/>
          <w:sz w:val="24"/>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rPr>
          <w:rFonts w:ascii="宋体" w:hAnsi="宋体"/>
          <w:sz w:val="32"/>
          <w:szCs w:val="32"/>
        </w:rPr>
      </w:pPr>
    </w:p>
    <w:p>
      <w:pPr>
        <w:spacing w:line="460" w:lineRule="exact"/>
        <w:jc w:val="center"/>
        <w:rPr>
          <w:rFonts w:ascii="宋体" w:hAnsi="宋体"/>
          <w:b/>
          <w:sz w:val="26"/>
          <w:szCs w:val="26"/>
        </w:rPr>
      </w:pPr>
      <w:r>
        <w:rPr>
          <w:rFonts w:hint="eastAsia"/>
          <w:b/>
          <w:sz w:val="28"/>
          <w:szCs w:val="28"/>
        </w:rPr>
        <w:t>（3）</w:t>
      </w:r>
      <w:r>
        <w:rPr>
          <w:rFonts w:ascii="宋体" w:hAnsi="宋体" w:cs="Arial"/>
          <w:b/>
          <w:sz w:val="28"/>
          <w:szCs w:val="28"/>
        </w:rPr>
        <w:t>企业法人营业执照</w:t>
      </w:r>
      <w:r>
        <w:rPr>
          <w:rFonts w:hint="eastAsia" w:ascii="宋体" w:hAnsi="宋体" w:cs="Arial"/>
          <w:b/>
          <w:sz w:val="28"/>
          <w:szCs w:val="28"/>
        </w:rPr>
        <w:t>（三证合一）</w:t>
      </w:r>
      <w:r>
        <w:rPr>
          <w:rFonts w:ascii="宋体" w:hAnsi="宋体" w:cs="Arial"/>
          <w:b/>
          <w:sz w:val="28"/>
          <w:szCs w:val="28"/>
        </w:rPr>
        <w:t>、</w:t>
      </w:r>
      <w:r>
        <w:rPr>
          <w:rFonts w:hint="eastAsia" w:ascii="宋体" w:hAnsi="宋体" w:cs="Arial"/>
          <w:b/>
          <w:sz w:val="28"/>
          <w:szCs w:val="28"/>
        </w:rPr>
        <w:t>资质证书、承诺书等招标文件要求提供的材料</w:t>
      </w: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24"/>
        </w:rPr>
      </w:pPr>
      <w:r>
        <w:rPr>
          <w:rFonts w:hint="eastAsia" w:ascii="宋体" w:hAnsi="宋体"/>
          <w:sz w:val="24"/>
        </w:rPr>
        <w:t>（投标文件中提供复印件加盖公章）</w:t>
      </w: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rPr>
          <w:rFonts w:ascii="宋体" w:hAnsi="宋体"/>
          <w:sz w:val="28"/>
          <w:szCs w:val="28"/>
        </w:rPr>
      </w:pPr>
    </w:p>
    <w:p>
      <w:pPr>
        <w:spacing w:line="460" w:lineRule="exact"/>
        <w:jc w:val="center"/>
        <w:rPr>
          <w:rFonts w:ascii="宋体" w:hAnsi="宋体"/>
          <w:b/>
          <w:sz w:val="32"/>
          <w:szCs w:val="32"/>
        </w:rPr>
      </w:pPr>
      <w:r>
        <w:rPr>
          <w:rFonts w:hint="eastAsia" w:ascii="宋体" w:hAnsi="宋体"/>
          <w:b/>
          <w:sz w:val="32"/>
          <w:szCs w:val="32"/>
        </w:rPr>
        <w:t>2、投标保证金汇款凭证、开户许可证</w:t>
      </w:r>
    </w:p>
    <w:p>
      <w:pPr>
        <w:autoSpaceDE w:val="0"/>
        <w:autoSpaceDN w:val="0"/>
        <w:adjustRightInd w:val="0"/>
        <w:spacing w:after="360" w:afterLines="150" w:line="460" w:lineRule="exact"/>
        <w:jc w:val="center"/>
        <w:rPr>
          <w:rFonts w:ascii="宋体" w:hAnsi="宋体"/>
          <w:sz w:val="24"/>
        </w:rPr>
      </w:pPr>
      <w:r>
        <w:rPr>
          <w:rFonts w:hint="eastAsia" w:ascii="宋体" w:hAnsi="宋体"/>
          <w:sz w:val="24"/>
        </w:rPr>
        <w:t>（提供加盖公章复印件）</w:t>
      </w:r>
    </w:p>
    <w:p>
      <w:pPr>
        <w:spacing w:line="460" w:lineRule="exact"/>
        <w:jc w:val="center"/>
        <w:rPr>
          <w:rFonts w:ascii="宋体" w:hAnsi="宋体"/>
          <w:b/>
          <w:sz w:val="32"/>
          <w:szCs w:val="32"/>
        </w:rPr>
      </w:pPr>
    </w:p>
    <w:p>
      <w:pPr>
        <w:autoSpaceDE w:val="0"/>
        <w:autoSpaceDN w:val="0"/>
        <w:adjustRightInd w:val="0"/>
        <w:spacing w:after="360" w:afterLines="150" w:line="460" w:lineRule="exact"/>
        <w:jc w:val="center"/>
        <w:rPr>
          <w:rFonts w:ascii="宋体" w:hAnsi="宋体"/>
          <w:b/>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jc w:val="center"/>
        <w:rPr>
          <w:rFonts w:ascii="宋体" w:hAnsi="宋体"/>
          <w:sz w:val="32"/>
          <w:szCs w:val="32"/>
        </w:rPr>
      </w:pPr>
    </w:p>
    <w:p>
      <w:pPr>
        <w:autoSpaceDE w:val="0"/>
        <w:autoSpaceDN w:val="0"/>
        <w:adjustRightInd w:val="0"/>
        <w:spacing w:after="360" w:afterLines="150" w:line="460" w:lineRule="exact"/>
        <w:rPr>
          <w:rFonts w:ascii="宋体" w:hAnsi="宋体"/>
          <w:sz w:val="32"/>
          <w:szCs w:val="32"/>
        </w:rPr>
      </w:pPr>
    </w:p>
    <w:p>
      <w:pPr>
        <w:autoSpaceDE w:val="0"/>
        <w:autoSpaceDN w:val="0"/>
        <w:adjustRightInd w:val="0"/>
        <w:spacing w:after="360" w:afterLines="150" w:line="460" w:lineRule="exact"/>
        <w:rPr>
          <w:rFonts w:ascii="宋体" w:hAnsi="宋体"/>
          <w:sz w:val="32"/>
          <w:szCs w:val="32"/>
        </w:rPr>
      </w:pPr>
    </w:p>
    <w:p>
      <w:pPr>
        <w:pStyle w:val="22"/>
      </w:pPr>
    </w:p>
    <w:p>
      <w:pPr>
        <w:autoSpaceDE w:val="0"/>
        <w:autoSpaceDN w:val="0"/>
        <w:adjustRightInd w:val="0"/>
        <w:spacing w:after="360" w:afterLines="150" w:line="460" w:lineRule="exact"/>
        <w:jc w:val="center"/>
        <w:rPr>
          <w:rFonts w:ascii="宋体" w:hAnsi="宋体" w:cs="Arial"/>
          <w:b/>
          <w:sz w:val="32"/>
          <w:szCs w:val="32"/>
        </w:rPr>
      </w:pPr>
      <w:r>
        <w:rPr>
          <w:rFonts w:hint="eastAsia" w:ascii="宋体" w:hAnsi="宋体"/>
          <w:b/>
          <w:sz w:val="32"/>
          <w:szCs w:val="32"/>
        </w:rPr>
        <w:t>3、</w:t>
      </w:r>
      <w:r>
        <w:rPr>
          <w:rFonts w:hint="eastAsia" w:ascii="宋体" w:hAnsi="宋体" w:cs="Arial"/>
          <w:b/>
          <w:sz w:val="32"/>
          <w:szCs w:val="32"/>
        </w:rPr>
        <w:t>2019年1月1日以来类似项目业绩</w:t>
      </w:r>
    </w:p>
    <w:tbl>
      <w:tblPr>
        <w:tblStyle w:val="39"/>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9"/>
        <w:gridCol w:w="1396"/>
        <w:gridCol w:w="1333"/>
        <w:gridCol w:w="1229"/>
        <w:gridCol w:w="1750"/>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38" w:type="dxa"/>
            <w:vAlign w:val="center"/>
          </w:tcPr>
          <w:p>
            <w:pPr>
              <w:widowControl/>
              <w:spacing w:line="460" w:lineRule="exact"/>
              <w:jc w:val="center"/>
              <w:rPr>
                <w:rFonts w:ascii="宋体" w:hAnsi="宋体" w:cs="宋体"/>
                <w:kern w:val="0"/>
                <w:sz w:val="24"/>
              </w:rPr>
            </w:pPr>
            <w:r>
              <w:rPr>
                <w:rFonts w:hint="eastAsia" w:ascii="宋体" w:hAnsi="宋体" w:cs="宋体"/>
                <w:kern w:val="0"/>
                <w:sz w:val="24"/>
              </w:rPr>
              <w:t>序号</w:t>
            </w:r>
          </w:p>
        </w:tc>
        <w:tc>
          <w:tcPr>
            <w:tcW w:w="1269" w:type="dxa"/>
            <w:vAlign w:val="center"/>
          </w:tcPr>
          <w:p>
            <w:pPr>
              <w:spacing w:line="460" w:lineRule="exact"/>
              <w:jc w:val="center"/>
              <w:rPr>
                <w:rFonts w:ascii="宋体" w:hAnsi="宋体" w:cs="宋体"/>
                <w:kern w:val="0"/>
                <w:sz w:val="24"/>
              </w:rPr>
            </w:pPr>
            <w:r>
              <w:rPr>
                <w:rFonts w:hint="eastAsia" w:ascii="宋体" w:hAnsi="宋体" w:cs="宋体"/>
                <w:kern w:val="0"/>
                <w:sz w:val="24"/>
              </w:rPr>
              <w:t>项目名称</w:t>
            </w:r>
          </w:p>
        </w:tc>
        <w:tc>
          <w:tcPr>
            <w:tcW w:w="1396" w:type="dxa"/>
            <w:vAlign w:val="center"/>
          </w:tcPr>
          <w:p>
            <w:pPr>
              <w:widowControl/>
              <w:spacing w:line="460" w:lineRule="exact"/>
              <w:jc w:val="center"/>
              <w:rPr>
                <w:rFonts w:ascii="宋体" w:hAnsi="宋体" w:cs="宋体"/>
                <w:kern w:val="0"/>
                <w:sz w:val="24"/>
              </w:rPr>
            </w:pPr>
            <w:r>
              <w:rPr>
                <w:rFonts w:hint="eastAsia" w:ascii="宋体" w:hAnsi="宋体" w:cs="宋体"/>
                <w:kern w:val="0"/>
                <w:sz w:val="24"/>
              </w:rPr>
              <w:t>采购单位</w:t>
            </w:r>
          </w:p>
        </w:tc>
        <w:tc>
          <w:tcPr>
            <w:tcW w:w="1333" w:type="dxa"/>
            <w:vAlign w:val="center"/>
          </w:tcPr>
          <w:p>
            <w:pPr>
              <w:widowControl/>
              <w:spacing w:line="460" w:lineRule="exact"/>
              <w:jc w:val="center"/>
              <w:rPr>
                <w:rFonts w:ascii="宋体" w:hAnsi="宋体" w:cs="宋体"/>
                <w:kern w:val="0"/>
                <w:sz w:val="24"/>
              </w:rPr>
            </w:pPr>
            <w:r>
              <w:rPr>
                <w:rFonts w:hint="eastAsia" w:ascii="宋体" w:hAnsi="宋体" w:cs="宋体"/>
                <w:kern w:val="0"/>
                <w:sz w:val="24"/>
              </w:rPr>
              <w:t>采购数量</w:t>
            </w:r>
          </w:p>
        </w:tc>
        <w:tc>
          <w:tcPr>
            <w:tcW w:w="1229" w:type="dxa"/>
            <w:vAlign w:val="center"/>
          </w:tcPr>
          <w:p>
            <w:pPr>
              <w:widowControl/>
              <w:spacing w:line="460" w:lineRule="exact"/>
              <w:jc w:val="center"/>
              <w:rPr>
                <w:rFonts w:ascii="宋体" w:hAnsi="宋体" w:cs="宋体"/>
                <w:kern w:val="0"/>
                <w:sz w:val="24"/>
              </w:rPr>
            </w:pPr>
            <w:r>
              <w:rPr>
                <w:rFonts w:hint="eastAsia" w:ascii="宋体" w:hAnsi="宋体" w:cs="宋体"/>
                <w:kern w:val="0"/>
                <w:sz w:val="24"/>
              </w:rPr>
              <w:t>实施地点</w:t>
            </w:r>
          </w:p>
        </w:tc>
        <w:tc>
          <w:tcPr>
            <w:tcW w:w="1750" w:type="dxa"/>
            <w:vAlign w:val="center"/>
          </w:tcPr>
          <w:p>
            <w:pPr>
              <w:widowControl/>
              <w:spacing w:line="460" w:lineRule="exact"/>
              <w:jc w:val="center"/>
              <w:rPr>
                <w:rFonts w:ascii="宋体" w:hAnsi="宋体" w:cs="宋体"/>
                <w:kern w:val="0"/>
                <w:sz w:val="24"/>
              </w:rPr>
            </w:pPr>
            <w:r>
              <w:rPr>
                <w:rFonts w:hint="eastAsia" w:ascii="宋体" w:hAnsi="宋体" w:cs="宋体"/>
                <w:kern w:val="0"/>
                <w:sz w:val="24"/>
              </w:rPr>
              <w:t>联系人及电话</w:t>
            </w:r>
          </w:p>
        </w:tc>
        <w:tc>
          <w:tcPr>
            <w:tcW w:w="1688" w:type="dxa"/>
            <w:vAlign w:val="center"/>
          </w:tcPr>
          <w:p>
            <w:pPr>
              <w:widowControl/>
              <w:spacing w:line="460" w:lineRule="exact"/>
              <w:jc w:val="center"/>
              <w:rPr>
                <w:rFonts w:ascii="宋体" w:hAnsi="宋体" w:cs="宋体"/>
                <w:kern w:val="0"/>
                <w:sz w:val="24"/>
              </w:rPr>
            </w:pPr>
            <w:r>
              <w:rPr>
                <w:rFonts w:hint="eastAsia" w:ascii="宋体" w:hAnsi="宋体" w:cs="宋体"/>
                <w:kern w:val="0"/>
                <w:sz w:val="24"/>
              </w:rPr>
              <w:t>合同签订日期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autoSpaceDE w:val="0"/>
              <w:autoSpaceDN w:val="0"/>
              <w:adjustRightInd w:val="0"/>
              <w:spacing w:line="460" w:lineRule="exact"/>
              <w:jc w:val="left"/>
              <w:rPr>
                <w:rFonts w:ascii="宋体" w:hAnsi="宋体"/>
                <w:sz w:val="24"/>
              </w:rPr>
            </w:pPr>
          </w:p>
        </w:tc>
        <w:tc>
          <w:tcPr>
            <w:tcW w:w="1269" w:type="dxa"/>
          </w:tcPr>
          <w:p>
            <w:pPr>
              <w:autoSpaceDE w:val="0"/>
              <w:autoSpaceDN w:val="0"/>
              <w:adjustRightInd w:val="0"/>
              <w:spacing w:line="460" w:lineRule="exact"/>
              <w:jc w:val="left"/>
              <w:rPr>
                <w:rFonts w:ascii="宋体" w:hAnsi="宋体"/>
                <w:sz w:val="24"/>
              </w:rPr>
            </w:pPr>
          </w:p>
        </w:tc>
        <w:tc>
          <w:tcPr>
            <w:tcW w:w="1396" w:type="dxa"/>
          </w:tcPr>
          <w:p>
            <w:pPr>
              <w:autoSpaceDE w:val="0"/>
              <w:autoSpaceDN w:val="0"/>
              <w:adjustRightInd w:val="0"/>
              <w:spacing w:line="460" w:lineRule="exact"/>
              <w:jc w:val="left"/>
              <w:rPr>
                <w:rFonts w:ascii="宋体" w:hAnsi="宋体"/>
                <w:sz w:val="24"/>
              </w:rPr>
            </w:pPr>
          </w:p>
        </w:tc>
        <w:tc>
          <w:tcPr>
            <w:tcW w:w="1333" w:type="dxa"/>
          </w:tcPr>
          <w:p>
            <w:pPr>
              <w:autoSpaceDE w:val="0"/>
              <w:autoSpaceDN w:val="0"/>
              <w:adjustRightInd w:val="0"/>
              <w:spacing w:line="460" w:lineRule="exact"/>
              <w:jc w:val="left"/>
              <w:rPr>
                <w:rFonts w:ascii="宋体" w:hAnsi="宋体"/>
                <w:sz w:val="24"/>
              </w:rPr>
            </w:pPr>
          </w:p>
        </w:tc>
        <w:tc>
          <w:tcPr>
            <w:tcW w:w="1229" w:type="dxa"/>
          </w:tcPr>
          <w:p>
            <w:pPr>
              <w:autoSpaceDE w:val="0"/>
              <w:autoSpaceDN w:val="0"/>
              <w:adjustRightInd w:val="0"/>
              <w:spacing w:line="460" w:lineRule="exact"/>
              <w:jc w:val="left"/>
              <w:rPr>
                <w:rFonts w:ascii="宋体" w:hAnsi="宋体"/>
                <w:sz w:val="24"/>
              </w:rPr>
            </w:pPr>
          </w:p>
        </w:tc>
        <w:tc>
          <w:tcPr>
            <w:tcW w:w="1750" w:type="dxa"/>
          </w:tcPr>
          <w:p>
            <w:pPr>
              <w:autoSpaceDE w:val="0"/>
              <w:autoSpaceDN w:val="0"/>
              <w:adjustRightInd w:val="0"/>
              <w:spacing w:line="460" w:lineRule="exact"/>
              <w:jc w:val="left"/>
              <w:rPr>
                <w:rFonts w:ascii="宋体" w:hAnsi="宋体"/>
                <w:sz w:val="24"/>
              </w:rPr>
            </w:pPr>
          </w:p>
        </w:tc>
        <w:tc>
          <w:tcPr>
            <w:tcW w:w="1688" w:type="dxa"/>
          </w:tcPr>
          <w:p>
            <w:pPr>
              <w:autoSpaceDE w:val="0"/>
              <w:autoSpaceDN w:val="0"/>
              <w:adjustRightInd w:val="0"/>
              <w:spacing w:line="460" w:lineRule="exact"/>
              <w:jc w:val="left"/>
              <w:rPr>
                <w:rFonts w:ascii="宋体" w:hAnsi="宋体"/>
                <w:sz w:val="24"/>
              </w:rPr>
            </w:pPr>
          </w:p>
        </w:tc>
      </w:tr>
    </w:tbl>
    <w:p>
      <w:pPr>
        <w:spacing w:line="360" w:lineRule="auto"/>
        <w:ind w:firstLine="480" w:firstLineChars="200"/>
        <w:rPr>
          <w:rFonts w:ascii="宋体" w:hAnsi="宋体"/>
          <w:sz w:val="24"/>
        </w:rPr>
      </w:pPr>
    </w:p>
    <w:p>
      <w:pPr>
        <w:spacing w:line="460" w:lineRule="exact"/>
        <w:ind w:firstLine="241" w:firstLineChars="100"/>
        <w:jc w:val="center"/>
        <w:rPr>
          <w:rFonts w:ascii="宋体" w:hAnsi="宋体"/>
          <w:snapToGrid w:val="0"/>
          <w:kern w:val="0"/>
          <w:sz w:val="36"/>
          <w:szCs w:val="36"/>
        </w:rPr>
      </w:pPr>
      <w:r>
        <w:rPr>
          <w:rFonts w:hint="eastAsia" w:ascii="宋体" w:hAnsi="宋体"/>
          <w:b/>
          <w:sz w:val="24"/>
        </w:rPr>
        <w:t>若投</w:t>
      </w:r>
      <w:r>
        <w:rPr>
          <w:rFonts w:ascii="宋体" w:hAnsi="宋体"/>
          <w:b/>
          <w:sz w:val="24"/>
        </w:rPr>
        <w:t>标</w:t>
      </w:r>
      <w:r>
        <w:rPr>
          <w:rFonts w:hint="eastAsia" w:ascii="宋体" w:hAnsi="宋体"/>
          <w:b/>
          <w:sz w:val="24"/>
        </w:rPr>
        <w:t>人提</w:t>
      </w:r>
      <w:r>
        <w:rPr>
          <w:rFonts w:ascii="宋体" w:hAnsi="宋体"/>
          <w:b/>
          <w:sz w:val="24"/>
        </w:rPr>
        <w:t>供虚</w:t>
      </w:r>
      <w:r>
        <w:rPr>
          <w:rFonts w:hint="eastAsia" w:ascii="宋体" w:hAnsi="宋体"/>
          <w:b/>
          <w:sz w:val="24"/>
        </w:rPr>
        <w:t>假</w:t>
      </w:r>
      <w:r>
        <w:rPr>
          <w:rFonts w:ascii="宋体" w:hAnsi="宋体"/>
          <w:b/>
          <w:sz w:val="24"/>
        </w:rPr>
        <w:t>证书</w:t>
      </w:r>
      <w:r>
        <w:rPr>
          <w:rFonts w:hint="eastAsia" w:ascii="宋体" w:hAnsi="宋体"/>
          <w:b/>
          <w:sz w:val="24"/>
        </w:rPr>
        <w:t>或存在其它弄</w:t>
      </w:r>
      <w:r>
        <w:rPr>
          <w:rFonts w:ascii="宋体" w:hAnsi="宋体"/>
          <w:b/>
          <w:sz w:val="24"/>
        </w:rPr>
        <w:t>虚</w:t>
      </w:r>
      <w:r>
        <w:rPr>
          <w:rFonts w:hint="eastAsia" w:ascii="宋体" w:hAnsi="宋体"/>
          <w:b/>
          <w:sz w:val="24"/>
        </w:rPr>
        <w:t>作假行</w:t>
      </w:r>
      <w:r>
        <w:rPr>
          <w:rFonts w:ascii="宋体" w:hAnsi="宋体"/>
          <w:b/>
          <w:sz w:val="24"/>
        </w:rPr>
        <w:t>为</w:t>
      </w:r>
      <w:r>
        <w:rPr>
          <w:rFonts w:hint="eastAsia" w:ascii="宋体" w:hAnsi="宋体"/>
          <w:b/>
          <w:sz w:val="24"/>
        </w:rPr>
        <w:t>的，一</w:t>
      </w:r>
      <w:r>
        <w:rPr>
          <w:rFonts w:ascii="宋体" w:hAnsi="宋体"/>
          <w:b/>
          <w:sz w:val="24"/>
        </w:rPr>
        <w:t>经</w:t>
      </w:r>
      <w:r>
        <w:rPr>
          <w:rFonts w:hint="eastAsia" w:ascii="宋体" w:hAnsi="宋体"/>
          <w:b/>
          <w:sz w:val="24"/>
        </w:rPr>
        <w:t>查</w:t>
      </w:r>
      <w:r>
        <w:rPr>
          <w:rFonts w:ascii="宋体" w:hAnsi="宋体"/>
          <w:b/>
          <w:sz w:val="24"/>
        </w:rPr>
        <w:t>实</w:t>
      </w:r>
      <w:r>
        <w:rPr>
          <w:rFonts w:hint="eastAsia" w:ascii="宋体" w:hAnsi="宋体"/>
          <w:b/>
          <w:sz w:val="24"/>
        </w:rPr>
        <w:t>，取消中</w:t>
      </w:r>
      <w:r>
        <w:rPr>
          <w:rFonts w:ascii="宋体" w:hAnsi="宋体"/>
          <w:b/>
          <w:sz w:val="24"/>
        </w:rPr>
        <w:t>标资</w:t>
      </w:r>
      <w:r>
        <w:rPr>
          <w:rFonts w:hint="eastAsia" w:ascii="宋体" w:hAnsi="宋体"/>
          <w:b/>
          <w:sz w:val="24"/>
        </w:rPr>
        <w:t>格。</w:t>
      </w: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ind w:firstLine="360" w:firstLineChars="100"/>
        <w:jc w:val="center"/>
        <w:rPr>
          <w:rFonts w:ascii="宋体" w:hAnsi="宋体"/>
          <w:snapToGrid w:val="0"/>
          <w:kern w:val="0"/>
          <w:sz w:val="36"/>
          <w:szCs w:val="36"/>
        </w:rPr>
      </w:pPr>
    </w:p>
    <w:p>
      <w:pPr>
        <w:spacing w:line="460" w:lineRule="exact"/>
        <w:rPr>
          <w:rFonts w:ascii="宋体" w:hAnsi="宋体"/>
          <w:snapToGrid w:val="0"/>
          <w:kern w:val="0"/>
          <w:sz w:val="36"/>
          <w:szCs w:val="36"/>
        </w:rPr>
      </w:pPr>
    </w:p>
    <w:p>
      <w:pPr>
        <w:pStyle w:val="22"/>
      </w:pPr>
      <w:bookmarkStart w:id="123" w:name="_Toc180993044"/>
      <w:bookmarkStart w:id="124" w:name="_Toc356993560"/>
      <w:bookmarkStart w:id="125" w:name="_Toc178044910"/>
    </w:p>
    <w:p>
      <w:pPr>
        <w:autoSpaceDE w:val="0"/>
        <w:autoSpaceDN w:val="0"/>
        <w:adjustRightInd w:val="0"/>
        <w:spacing w:after="360" w:afterLines="150" w:line="460" w:lineRule="exact"/>
        <w:jc w:val="center"/>
        <w:rPr>
          <w:rFonts w:ascii="宋体" w:hAnsi="宋体"/>
          <w:b/>
          <w:sz w:val="32"/>
          <w:szCs w:val="32"/>
        </w:rPr>
      </w:pPr>
      <w:r>
        <w:rPr>
          <w:rFonts w:hint="eastAsia" w:ascii="宋体" w:hAnsi="宋体"/>
          <w:b/>
          <w:sz w:val="32"/>
          <w:szCs w:val="32"/>
        </w:rPr>
        <w:t>4、体系证书及资信等级证明材料等</w:t>
      </w:r>
    </w:p>
    <w:p>
      <w:pPr>
        <w:autoSpaceDE w:val="0"/>
        <w:autoSpaceDN w:val="0"/>
        <w:adjustRightInd w:val="0"/>
        <w:spacing w:after="360" w:afterLines="150" w:line="460" w:lineRule="exact"/>
        <w:jc w:val="center"/>
        <w:rPr>
          <w:rFonts w:ascii="宋体" w:hAnsi="宋体"/>
          <w:b/>
          <w:sz w:val="32"/>
          <w:szCs w:val="32"/>
        </w:rPr>
      </w:pPr>
      <w:r>
        <w:rPr>
          <w:rFonts w:hint="eastAsia" w:ascii="宋体" w:hAnsi="宋体"/>
          <w:b/>
          <w:sz w:val="32"/>
          <w:szCs w:val="32"/>
        </w:rPr>
        <w:t>5、供货设备及安装材料（格式自拟）</w:t>
      </w:r>
    </w:p>
    <w:p>
      <w:pPr>
        <w:adjustRightInd w:val="0"/>
        <w:snapToGrid w:val="0"/>
        <w:spacing w:before="48" w:beforeLines="20" w:after="48" w:afterLines="20" w:line="500" w:lineRule="exact"/>
        <w:ind w:firstLine="480" w:firstLineChars="200"/>
        <w:jc w:val="left"/>
        <w:rPr>
          <w:rFonts w:ascii="宋体" w:hAnsi="宋体"/>
          <w:kern w:val="0"/>
          <w:sz w:val="24"/>
        </w:rPr>
      </w:pPr>
      <w:r>
        <w:rPr>
          <w:rFonts w:hint="eastAsia" w:ascii="宋体" w:hAnsi="宋体"/>
          <w:sz w:val="24"/>
        </w:rPr>
        <w:t>投标人自编，</w:t>
      </w:r>
      <w:r>
        <w:rPr>
          <w:rFonts w:hint="eastAsia" w:ascii="宋体" w:hAnsi="宋体" w:cs="Arial"/>
          <w:bCs/>
          <w:sz w:val="24"/>
        </w:rPr>
        <w:t>投</w:t>
      </w:r>
      <w:r>
        <w:rPr>
          <w:rFonts w:ascii="宋体" w:hAnsi="宋体" w:cs="Arial"/>
          <w:bCs/>
          <w:sz w:val="24"/>
        </w:rPr>
        <w:t>标</w:t>
      </w:r>
      <w:r>
        <w:rPr>
          <w:rFonts w:hint="eastAsia" w:ascii="宋体" w:hAnsi="宋体" w:cs="Arial"/>
          <w:bCs/>
          <w:sz w:val="24"/>
        </w:rPr>
        <w:t>文件</w:t>
      </w:r>
      <w:r>
        <w:rPr>
          <w:rFonts w:ascii="宋体" w:hAnsi="宋体" w:cs="Arial"/>
          <w:bCs/>
          <w:sz w:val="24"/>
        </w:rPr>
        <w:t>应对</w:t>
      </w:r>
      <w:r>
        <w:rPr>
          <w:rFonts w:hint="eastAsia" w:ascii="宋体" w:hAnsi="宋体" w:cs="Arial"/>
          <w:bCs/>
          <w:sz w:val="24"/>
        </w:rPr>
        <w:t>招标范</w:t>
      </w:r>
      <w:r>
        <w:rPr>
          <w:rFonts w:ascii="宋体" w:hAnsi="宋体" w:cs="Arial"/>
          <w:bCs/>
          <w:sz w:val="24"/>
        </w:rPr>
        <w:t>围内设备</w:t>
      </w:r>
      <w:r>
        <w:rPr>
          <w:rFonts w:hint="eastAsia" w:ascii="宋体" w:hAnsi="宋体" w:cs="Arial"/>
          <w:bCs/>
          <w:sz w:val="24"/>
        </w:rPr>
        <w:t>及安</w:t>
      </w:r>
      <w:r>
        <w:rPr>
          <w:rFonts w:ascii="宋体" w:hAnsi="宋体" w:cs="Arial"/>
          <w:bCs/>
          <w:sz w:val="24"/>
        </w:rPr>
        <w:t>装</w:t>
      </w:r>
      <w:r>
        <w:rPr>
          <w:rFonts w:hint="eastAsia" w:ascii="宋体" w:hAnsi="宋体" w:cs="Arial"/>
          <w:bCs/>
          <w:sz w:val="24"/>
        </w:rPr>
        <w:t>材料的设计图纸、元器件选配、品牌、</w:t>
      </w:r>
      <w:r>
        <w:rPr>
          <w:rFonts w:ascii="宋体" w:hAnsi="宋体" w:cs="Arial"/>
          <w:bCs/>
          <w:sz w:val="24"/>
        </w:rPr>
        <w:t>产</w:t>
      </w:r>
      <w:r>
        <w:rPr>
          <w:rFonts w:hint="eastAsia" w:ascii="宋体" w:hAnsi="宋体" w:cs="Arial"/>
          <w:bCs/>
          <w:sz w:val="24"/>
        </w:rPr>
        <w:t>地、性能主要技</w:t>
      </w:r>
      <w:r>
        <w:rPr>
          <w:rFonts w:ascii="宋体" w:hAnsi="宋体" w:cs="Arial"/>
          <w:bCs/>
          <w:sz w:val="24"/>
        </w:rPr>
        <w:t>术参数进</w:t>
      </w:r>
      <w:r>
        <w:rPr>
          <w:rFonts w:hint="eastAsia" w:ascii="宋体" w:hAnsi="宋体" w:cs="Arial"/>
          <w:bCs/>
          <w:sz w:val="24"/>
        </w:rPr>
        <w:t>行</w:t>
      </w:r>
      <w:r>
        <w:rPr>
          <w:rFonts w:ascii="宋体" w:hAnsi="宋体" w:cs="Arial"/>
          <w:bCs/>
          <w:sz w:val="24"/>
        </w:rPr>
        <w:t>详细</w:t>
      </w:r>
      <w:r>
        <w:rPr>
          <w:rFonts w:hint="eastAsia" w:ascii="宋体" w:hAnsi="宋体" w:cs="Arial"/>
          <w:bCs/>
          <w:sz w:val="24"/>
        </w:rPr>
        <w:t>描述，提供</w:t>
      </w:r>
      <w:r>
        <w:rPr>
          <w:rFonts w:ascii="宋体" w:hAnsi="宋体" w:cs="Arial"/>
          <w:bCs/>
          <w:sz w:val="24"/>
        </w:rPr>
        <w:t>主要部件清单</w:t>
      </w:r>
      <w:r>
        <w:rPr>
          <w:rFonts w:hint="eastAsia" w:ascii="宋体" w:hAnsi="宋体" w:cs="Arial"/>
          <w:bCs/>
          <w:sz w:val="24"/>
        </w:rPr>
        <w:t>、主要</w:t>
      </w:r>
      <w:r>
        <w:rPr>
          <w:rFonts w:ascii="宋体" w:hAnsi="宋体" w:cs="Arial"/>
          <w:bCs/>
          <w:sz w:val="24"/>
        </w:rPr>
        <w:t>产</w:t>
      </w:r>
      <w:r>
        <w:rPr>
          <w:rFonts w:hint="eastAsia" w:ascii="宋体" w:hAnsi="宋体" w:cs="Arial"/>
          <w:bCs/>
          <w:sz w:val="24"/>
        </w:rPr>
        <w:t>品</w:t>
      </w:r>
      <w:r>
        <w:rPr>
          <w:rFonts w:ascii="宋体" w:hAnsi="宋体" w:cs="Arial"/>
          <w:bCs/>
          <w:sz w:val="24"/>
        </w:rPr>
        <w:t>样</w:t>
      </w:r>
      <w:r>
        <w:rPr>
          <w:rFonts w:hint="eastAsia" w:ascii="宋体" w:hAnsi="宋体" w:cs="Arial"/>
          <w:bCs/>
          <w:sz w:val="24"/>
        </w:rPr>
        <w:t>本</w:t>
      </w:r>
      <w:r>
        <w:rPr>
          <w:rFonts w:hint="eastAsia" w:ascii="宋体" w:hAnsi="宋体"/>
          <w:kern w:val="0"/>
          <w:sz w:val="24"/>
        </w:rPr>
        <w:t>投标设备简介、彩页及</w:t>
      </w:r>
      <w:r>
        <w:rPr>
          <w:rFonts w:hint="eastAsia" w:ascii="宋体" w:hAnsi="宋体"/>
          <w:b/>
          <w:kern w:val="0"/>
          <w:sz w:val="24"/>
        </w:rPr>
        <w:t>主要技术指标响应表</w:t>
      </w:r>
    </w:p>
    <w:p>
      <w:pPr>
        <w:pStyle w:val="73"/>
        <w:keepNext w:val="0"/>
        <w:keepLines w:val="0"/>
        <w:spacing w:line="460" w:lineRule="exact"/>
        <w:jc w:val="center"/>
        <w:outlineLvl w:val="9"/>
        <w:rPr>
          <w:rFonts w:ascii="宋体" w:hAnsi="宋体" w:eastAsia="宋体"/>
        </w:rPr>
      </w:pPr>
      <w:r>
        <w:rPr>
          <w:rFonts w:hint="eastAsia" w:ascii="宋体" w:hAnsi="宋体" w:eastAsia="宋体"/>
          <w:b w:val="0"/>
        </w:rPr>
        <w:t xml:space="preserve"> </w:t>
      </w:r>
      <w:bookmarkStart w:id="126" w:name="_Toc484070280"/>
      <w:r>
        <w:rPr>
          <w:rFonts w:hint="eastAsia" w:ascii="宋体" w:hAnsi="宋体" w:eastAsia="宋体"/>
        </w:rPr>
        <w:t>技术指标响应表</w:t>
      </w:r>
      <w:bookmarkEnd w:id="123"/>
      <w:bookmarkEnd w:id="124"/>
      <w:bookmarkEnd w:id="125"/>
      <w:bookmarkEnd w:id="126"/>
    </w:p>
    <w:p>
      <w:pPr>
        <w:spacing w:line="460" w:lineRule="exact"/>
        <w:ind w:left="939" w:leftChars="114" w:hanging="700" w:hangingChars="292"/>
        <w:rPr>
          <w:rFonts w:ascii="宋体" w:hAnsi="宋体" w:cs="Arial"/>
          <w:sz w:val="24"/>
        </w:rPr>
      </w:pPr>
      <w:r>
        <w:rPr>
          <w:rFonts w:ascii="宋体" w:hAnsi="宋体" w:cs="Arial"/>
          <w:sz w:val="24"/>
        </w:rPr>
        <w:t>招标编号</w:t>
      </w:r>
      <w:r>
        <w:rPr>
          <w:rFonts w:hint="eastAsia" w:ascii="宋体" w:hAnsi="宋体" w:cs="Arial"/>
          <w:sz w:val="24"/>
        </w:rPr>
        <w:t xml:space="preserve">：                                                  </w:t>
      </w:r>
    </w:p>
    <w:tbl>
      <w:tblPr>
        <w:tblStyle w:val="39"/>
        <w:tblW w:w="890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90"/>
        <w:gridCol w:w="2205"/>
        <w:gridCol w:w="262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5" w:type="dxa"/>
            <w:vAlign w:val="center"/>
          </w:tcPr>
          <w:p>
            <w:pPr>
              <w:spacing w:line="460" w:lineRule="exact"/>
              <w:ind w:left="59" w:leftChars="28"/>
              <w:rPr>
                <w:rFonts w:ascii="宋体" w:hAnsi="宋体"/>
                <w:sz w:val="28"/>
              </w:rPr>
            </w:pPr>
            <w:r>
              <w:rPr>
                <w:rFonts w:hint="eastAsia" w:ascii="宋体" w:hAnsi="宋体" w:cs="Arial"/>
                <w:sz w:val="24"/>
              </w:rPr>
              <w:t>货物名称</w:t>
            </w:r>
          </w:p>
        </w:tc>
        <w:tc>
          <w:tcPr>
            <w:tcW w:w="1890" w:type="dxa"/>
            <w:vAlign w:val="center"/>
          </w:tcPr>
          <w:p>
            <w:pPr>
              <w:spacing w:before="120" w:after="120" w:line="460" w:lineRule="exact"/>
              <w:jc w:val="center"/>
              <w:rPr>
                <w:rFonts w:ascii="宋体" w:hAnsi="宋体"/>
                <w:sz w:val="24"/>
              </w:rPr>
            </w:pPr>
          </w:p>
        </w:tc>
        <w:tc>
          <w:tcPr>
            <w:tcW w:w="2205" w:type="dxa"/>
            <w:vAlign w:val="center"/>
          </w:tcPr>
          <w:p>
            <w:pPr>
              <w:spacing w:before="120" w:after="120" w:line="460" w:lineRule="exact"/>
              <w:jc w:val="center"/>
              <w:rPr>
                <w:rFonts w:ascii="宋体" w:hAnsi="宋体"/>
                <w:sz w:val="24"/>
              </w:rPr>
            </w:pPr>
            <w:r>
              <w:rPr>
                <w:rFonts w:hint="eastAsia" w:ascii="宋体" w:hAnsi="宋体"/>
                <w:sz w:val="24"/>
              </w:rPr>
              <w:t>品牌、规格及型号</w:t>
            </w:r>
          </w:p>
        </w:tc>
        <w:tc>
          <w:tcPr>
            <w:tcW w:w="3449" w:type="dxa"/>
            <w:gridSpan w:val="2"/>
            <w:vAlign w:val="center"/>
          </w:tcPr>
          <w:p>
            <w:pPr>
              <w:spacing w:before="120" w:after="120"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5" w:type="dxa"/>
            <w:vAlign w:val="center"/>
          </w:tcPr>
          <w:p>
            <w:pPr>
              <w:spacing w:before="120" w:after="120" w:line="460" w:lineRule="exact"/>
              <w:jc w:val="center"/>
              <w:rPr>
                <w:rFonts w:ascii="宋体" w:hAnsi="宋体"/>
                <w:sz w:val="24"/>
              </w:rPr>
            </w:pPr>
            <w:r>
              <w:rPr>
                <w:rFonts w:hint="eastAsia" w:ascii="宋体" w:hAnsi="宋体"/>
                <w:sz w:val="24"/>
              </w:rPr>
              <w:t>条目号</w:t>
            </w:r>
          </w:p>
        </w:tc>
        <w:tc>
          <w:tcPr>
            <w:tcW w:w="1890" w:type="dxa"/>
            <w:vAlign w:val="center"/>
          </w:tcPr>
          <w:p>
            <w:pPr>
              <w:spacing w:before="120" w:after="120" w:line="460" w:lineRule="exact"/>
              <w:jc w:val="center"/>
              <w:rPr>
                <w:rFonts w:ascii="宋体" w:hAnsi="宋体"/>
                <w:sz w:val="24"/>
              </w:rPr>
            </w:pPr>
            <w:r>
              <w:rPr>
                <w:rFonts w:hint="eastAsia" w:ascii="宋体" w:hAnsi="宋体"/>
                <w:sz w:val="24"/>
              </w:rPr>
              <w:t>招标要求</w:t>
            </w:r>
          </w:p>
        </w:tc>
        <w:tc>
          <w:tcPr>
            <w:tcW w:w="2205" w:type="dxa"/>
            <w:vAlign w:val="center"/>
          </w:tcPr>
          <w:p>
            <w:pPr>
              <w:spacing w:before="120" w:after="120" w:line="460" w:lineRule="exact"/>
              <w:jc w:val="center"/>
              <w:rPr>
                <w:rFonts w:ascii="宋体" w:hAnsi="宋体"/>
                <w:sz w:val="24"/>
              </w:rPr>
            </w:pPr>
            <w:r>
              <w:rPr>
                <w:rFonts w:hint="eastAsia" w:ascii="宋体" w:hAnsi="宋体"/>
                <w:sz w:val="24"/>
              </w:rPr>
              <w:t>投标规格</w:t>
            </w:r>
          </w:p>
        </w:tc>
        <w:tc>
          <w:tcPr>
            <w:tcW w:w="2625" w:type="dxa"/>
            <w:vAlign w:val="center"/>
          </w:tcPr>
          <w:p>
            <w:pPr>
              <w:spacing w:before="120" w:after="120" w:line="460" w:lineRule="exact"/>
              <w:jc w:val="center"/>
              <w:rPr>
                <w:rFonts w:ascii="宋体" w:hAnsi="宋体"/>
                <w:sz w:val="24"/>
              </w:rPr>
            </w:pPr>
            <w:r>
              <w:rPr>
                <w:rFonts w:hint="eastAsia" w:ascii="宋体" w:hAnsi="宋体"/>
                <w:sz w:val="24"/>
              </w:rPr>
              <w:t>偏离</w:t>
            </w:r>
            <w:r>
              <w:rPr>
                <w:rFonts w:hint="eastAsia" w:ascii="宋体" w:hAnsi="宋体"/>
                <w:szCs w:val="21"/>
              </w:rPr>
              <w:t>（本栏填写“符合”、“优于”或</w:t>
            </w:r>
            <w:r>
              <w:rPr>
                <w:rFonts w:hint="eastAsia"/>
                <w:szCs w:val="21"/>
              </w:rPr>
              <w:t>“不满足”）</w:t>
            </w:r>
          </w:p>
        </w:tc>
        <w:tc>
          <w:tcPr>
            <w:tcW w:w="824" w:type="dxa"/>
            <w:vAlign w:val="center"/>
          </w:tcPr>
          <w:p>
            <w:pPr>
              <w:spacing w:before="120" w:after="120" w:line="460" w:lineRule="exact"/>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5" w:type="dxa"/>
          </w:tcPr>
          <w:p>
            <w:pPr>
              <w:spacing w:before="200" w:after="200" w:line="460" w:lineRule="exact"/>
              <w:rPr>
                <w:rFonts w:ascii="宋体" w:hAnsi="宋体"/>
                <w:sz w:val="24"/>
              </w:rPr>
            </w:pPr>
          </w:p>
        </w:tc>
        <w:tc>
          <w:tcPr>
            <w:tcW w:w="1890" w:type="dxa"/>
          </w:tcPr>
          <w:p>
            <w:pPr>
              <w:spacing w:before="200" w:after="200" w:line="460" w:lineRule="exact"/>
              <w:rPr>
                <w:rFonts w:ascii="宋体" w:hAnsi="宋体"/>
                <w:sz w:val="24"/>
              </w:rPr>
            </w:pPr>
          </w:p>
        </w:tc>
        <w:tc>
          <w:tcPr>
            <w:tcW w:w="2205" w:type="dxa"/>
          </w:tcPr>
          <w:p>
            <w:pPr>
              <w:spacing w:before="200" w:after="200" w:line="460" w:lineRule="exact"/>
              <w:rPr>
                <w:rFonts w:ascii="宋体" w:hAnsi="宋体"/>
                <w:sz w:val="24"/>
              </w:rPr>
            </w:pPr>
          </w:p>
        </w:tc>
        <w:tc>
          <w:tcPr>
            <w:tcW w:w="2625" w:type="dxa"/>
          </w:tcPr>
          <w:p>
            <w:pPr>
              <w:spacing w:before="200" w:after="200" w:line="460" w:lineRule="exact"/>
              <w:rPr>
                <w:rFonts w:ascii="宋体" w:hAnsi="宋体"/>
                <w:sz w:val="24"/>
              </w:rPr>
            </w:pPr>
          </w:p>
        </w:tc>
        <w:tc>
          <w:tcPr>
            <w:tcW w:w="824" w:type="dxa"/>
          </w:tcPr>
          <w:p>
            <w:pPr>
              <w:spacing w:before="200" w:after="20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365" w:type="dxa"/>
          </w:tcPr>
          <w:p>
            <w:pPr>
              <w:spacing w:before="200" w:after="200" w:line="460" w:lineRule="exact"/>
              <w:rPr>
                <w:rFonts w:ascii="宋体" w:hAnsi="宋体"/>
                <w:sz w:val="24"/>
              </w:rPr>
            </w:pPr>
          </w:p>
        </w:tc>
        <w:tc>
          <w:tcPr>
            <w:tcW w:w="1890" w:type="dxa"/>
          </w:tcPr>
          <w:p>
            <w:pPr>
              <w:spacing w:before="200" w:after="200" w:line="460" w:lineRule="exact"/>
              <w:rPr>
                <w:rFonts w:ascii="宋体" w:hAnsi="宋体"/>
                <w:sz w:val="24"/>
              </w:rPr>
            </w:pPr>
          </w:p>
        </w:tc>
        <w:tc>
          <w:tcPr>
            <w:tcW w:w="2205" w:type="dxa"/>
          </w:tcPr>
          <w:p>
            <w:pPr>
              <w:spacing w:before="200" w:after="200" w:line="460" w:lineRule="exact"/>
              <w:rPr>
                <w:rFonts w:ascii="宋体" w:hAnsi="宋体"/>
                <w:sz w:val="24"/>
              </w:rPr>
            </w:pPr>
          </w:p>
        </w:tc>
        <w:tc>
          <w:tcPr>
            <w:tcW w:w="2625" w:type="dxa"/>
          </w:tcPr>
          <w:p>
            <w:pPr>
              <w:spacing w:before="200" w:after="200" w:line="460" w:lineRule="exact"/>
              <w:rPr>
                <w:rFonts w:ascii="宋体" w:hAnsi="宋体"/>
                <w:sz w:val="24"/>
              </w:rPr>
            </w:pPr>
          </w:p>
        </w:tc>
        <w:tc>
          <w:tcPr>
            <w:tcW w:w="824" w:type="dxa"/>
          </w:tcPr>
          <w:p>
            <w:pPr>
              <w:spacing w:before="200" w:after="20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5" w:type="dxa"/>
          </w:tcPr>
          <w:p>
            <w:pPr>
              <w:spacing w:before="200" w:after="200" w:line="460" w:lineRule="exact"/>
              <w:rPr>
                <w:rFonts w:ascii="宋体" w:hAnsi="宋体"/>
                <w:sz w:val="24"/>
              </w:rPr>
            </w:pPr>
          </w:p>
        </w:tc>
        <w:tc>
          <w:tcPr>
            <w:tcW w:w="1890" w:type="dxa"/>
          </w:tcPr>
          <w:p>
            <w:pPr>
              <w:spacing w:before="200" w:after="200" w:line="460" w:lineRule="exact"/>
              <w:rPr>
                <w:rFonts w:ascii="宋体" w:hAnsi="宋体"/>
                <w:sz w:val="24"/>
              </w:rPr>
            </w:pPr>
          </w:p>
        </w:tc>
        <w:tc>
          <w:tcPr>
            <w:tcW w:w="2205" w:type="dxa"/>
          </w:tcPr>
          <w:p>
            <w:pPr>
              <w:spacing w:before="200" w:after="200" w:line="460" w:lineRule="exact"/>
              <w:rPr>
                <w:rFonts w:ascii="宋体" w:hAnsi="宋体"/>
                <w:sz w:val="24"/>
              </w:rPr>
            </w:pPr>
          </w:p>
        </w:tc>
        <w:tc>
          <w:tcPr>
            <w:tcW w:w="2625" w:type="dxa"/>
          </w:tcPr>
          <w:p>
            <w:pPr>
              <w:spacing w:before="200" w:after="200" w:line="460" w:lineRule="exact"/>
              <w:rPr>
                <w:rFonts w:ascii="宋体" w:hAnsi="宋体"/>
                <w:sz w:val="24"/>
              </w:rPr>
            </w:pPr>
          </w:p>
        </w:tc>
        <w:tc>
          <w:tcPr>
            <w:tcW w:w="824" w:type="dxa"/>
          </w:tcPr>
          <w:p>
            <w:pPr>
              <w:spacing w:before="200" w:after="20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5" w:type="dxa"/>
          </w:tcPr>
          <w:p>
            <w:pPr>
              <w:spacing w:before="200" w:after="200" w:line="460" w:lineRule="exact"/>
              <w:rPr>
                <w:rFonts w:ascii="宋体" w:hAnsi="宋体"/>
                <w:sz w:val="24"/>
              </w:rPr>
            </w:pPr>
          </w:p>
        </w:tc>
        <w:tc>
          <w:tcPr>
            <w:tcW w:w="1890" w:type="dxa"/>
          </w:tcPr>
          <w:p>
            <w:pPr>
              <w:spacing w:before="200" w:after="200" w:line="460" w:lineRule="exact"/>
              <w:rPr>
                <w:rFonts w:ascii="宋体" w:hAnsi="宋体"/>
                <w:sz w:val="24"/>
              </w:rPr>
            </w:pPr>
          </w:p>
        </w:tc>
        <w:tc>
          <w:tcPr>
            <w:tcW w:w="2205" w:type="dxa"/>
          </w:tcPr>
          <w:p>
            <w:pPr>
              <w:spacing w:before="200" w:after="200" w:line="460" w:lineRule="exact"/>
              <w:rPr>
                <w:rFonts w:ascii="宋体" w:hAnsi="宋体"/>
                <w:sz w:val="24"/>
              </w:rPr>
            </w:pPr>
          </w:p>
        </w:tc>
        <w:tc>
          <w:tcPr>
            <w:tcW w:w="2625" w:type="dxa"/>
          </w:tcPr>
          <w:p>
            <w:pPr>
              <w:spacing w:before="200" w:after="200" w:line="460" w:lineRule="exact"/>
              <w:rPr>
                <w:rFonts w:ascii="宋体" w:hAnsi="宋体"/>
                <w:sz w:val="24"/>
              </w:rPr>
            </w:pPr>
          </w:p>
        </w:tc>
        <w:tc>
          <w:tcPr>
            <w:tcW w:w="824" w:type="dxa"/>
          </w:tcPr>
          <w:p>
            <w:pPr>
              <w:spacing w:before="200" w:after="20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5" w:type="dxa"/>
          </w:tcPr>
          <w:p>
            <w:pPr>
              <w:spacing w:before="200" w:after="200" w:line="460" w:lineRule="exact"/>
              <w:rPr>
                <w:rFonts w:ascii="宋体" w:hAnsi="宋体"/>
                <w:sz w:val="24"/>
              </w:rPr>
            </w:pPr>
          </w:p>
        </w:tc>
        <w:tc>
          <w:tcPr>
            <w:tcW w:w="1890" w:type="dxa"/>
          </w:tcPr>
          <w:p>
            <w:pPr>
              <w:spacing w:before="200" w:after="200" w:line="460" w:lineRule="exact"/>
              <w:rPr>
                <w:rFonts w:ascii="宋体" w:hAnsi="宋体"/>
                <w:sz w:val="24"/>
              </w:rPr>
            </w:pPr>
          </w:p>
        </w:tc>
        <w:tc>
          <w:tcPr>
            <w:tcW w:w="2205" w:type="dxa"/>
          </w:tcPr>
          <w:p>
            <w:pPr>
              <w:spacing w:before="200" w:after="200" w:line="460" w:lineRule="exact"/>
              <w:rPr>
                <w:rFonts w:ascii="宋体" w:hAnsi="宋体"/>
                <w:sz w:val="24"/>
              </w:rPr>
            </w:pPr>
          </w:p>
        </w:tc>
        <w:tc>
          <w:tcPr>
            <w:tcW w:w="2625" w:type="dxa"/>
          </w:tcPr>
          <w:p>
            <w:pPr>
              <w:spacing w:before="200" w:after="200" w:line="460" w:lineRule="exact"/>
              <w:rPr>
                <w:rFonts w:ascii="宋体" w:hAnsi="宋体"/>
                <w:sz w:val="24"/>
              </w:rPr>
            </w:pPr>
          </w:p>
        </w:tc>
        <w:tc>
          <w:tcPr>
            <w:tcW w:w="824" w:type="dxa"/>
          </w:tcPr>
          <w:p>
            <w:pPr>
              <w:spacing w:before="200" w:after="200"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5" w:type="dxa"/>
          </w:tcPr>
          <w:p>
            <w:pPr>
              <w:spacing w:before="200" w:after="200" w:line="460" w:lineRule="exact"/>
              <w:rPr>
                <w:rFonts w:ascii="宋体" w:hAnsi="宋体"/>
                <w:sz w:val="24"/>
              </w:rPr>
            </w:pPr>
          </w:p>
        </w:tc>
        <w:tc>
          <w:tcPr>
            <w:tcW w:w="1890" w:type="dxa"/>
          </w:tcPr>
          <w:p>
            <w:pPr>
              <w:spacing w:before="200" w:after="200" w:line="460" w:lineRule="exact"/>
              <w:rPr>
                <w:rFonts w:ascii="宋体" w:hAnsi="宋体"/>
                <w:sz w:val="24"/>
              </w:rPr>
            </w:pPr>
          </w:p>
        </w:tc>
        <w:tc>
          <w:tcPr>
            <w:tcW w:w="2205" w:type="dxa"/>
          </w:tcPr>
          <w:p>
            <w:pPr>
              <w:spacing w:before="200" w:after="200" w:line="460" w:lineRule="exact"/>
              <w:rPr>
                <w:rFonts w:ascii="宋体" w:hAnsi="宋体"/>
                <w:sz w:val="24"/>
              </w:rPr>
            </w:pPr>
          </w:p>
        </w:tc>
        <w:tc>
          <w:tcPr>
            <w:tcW w:w="2625" w:type="dxa"/>
          </w:tcPr>
          <w:p>
            <w:pPr>
              <w:spacing w:before="200" w:after="200" w:line="460" w:lineRule="exact"/>
              <w:rPr>
                <w:rFonts w:ascii="宋体" w:hAnsi="宋体"/>
                <w:sz w:val="24"/>
              </w:rPr>
            </w:pPr>
          </w:p>
        </w:tc>
        <w:tc>
          <w:tcPr>
            <w:tcW w:w="824" w:type="dxa"/>
          </w:tcPr>
          <w:p>
            <w:pPr>
              <w:spacing w:before="200" w:after="200" w:line="460" w:lineRule="exact"/>
              <w:rPr>
                <w:rFonts w:ascii="宋体" w:hAnsi="宋体"/>
                <w:sz w:val="24"/>
              </w:rPr>
            </w:pPr>
          </w:p>
        </w:tc>
      </w:tr>
    </w:tbl>
    <w:p>
      <w:pPr>
        <w:spacing w:before="240" w:after="360" w:line="460" w:lineRule="exact"/>
        <w:rPr>
          <w:rFonts w:ascii="宋体" w:hAnsi="宋体"/>
          <w:sz w:val="24"/>
        </w:rPr>
      </w:pPr>
      <w:r>
        <w:rPr>
          <w:rFonts w:hint="eastAsia" w:ascii="宋体" w:hAnsi="宋体"/>
          <w:sz w:val="24"/>
        </w:rPr>
        <w:t>注：为便于评审，本表中“条目号”应与招标文件第四章《技术规格标准及相关要求》中各品种货物的序号相一致。请各投标人依序填写并逐项说明，有缺项视为不满足要求。</w:t>
      </w:r>
    </w:p>
    <w:p>
      <w:pPr>
        <w:spacing w:line="460" w:lineRule="exact"/>
        <w:ind w:firstLine="240" w:firstLineChars="100"/>
        <w:rPr>
          <w:rFonts w:ascii="宋体" w:hAnsi="宋体" w:cs="Arial"/>
          <w:sz w:val="24"/>
        </w:rPr>
      </w:pPr>
      <w:r>
        <w:rPr>
          <w:rFonts w:hint="eastAsia" w:ascii="宋体" w:hAnsi="宋体" w:cs="Arial"/>
          <w:sz w:val="24"/>
        </w:rPr>
        <w:t>投标人 (公章) ：                          授权代表(签名)：</w:t>
      </w:r>
    </w:p>
    <w:p>
      <w:pPr>
        <w:spacing w:line="460" w:lineRule="exact"/>
        <w:rPr>
          <w:rFonts w:ascii="宋体" w:hAnsi="宋体" w:cs="Arial"/>
          <w:sz w:val="24"/>
        </w:rPr>
      </w:pPr>
      <w:r>
        <w:rPr>
          <w:rFonts w:hint="eastAsia" w:ascii="宋体" w:hAnsi="宋体" w:cs="Arial"/>
          <w:sz w:val="24"/>
        </w:rPr>
        <w:t xml:space="preserve">                                             日期：    年    月    日</w:t>
      </w:r>
    </w:p>
    <w:p>
      <w:pPr>
        <w:spacing w:line="360" w:lineRule="auto"/>
        <w:rPr>
          <w:rFonts w:ascii="宋体" w:hAnsi="宋体"/>
          <w:sz w:val="24"/>
        </w:rPr>
      </w:pPr>
    </w:p>
    <w:p>
      <w:pPr>
        <w:spacing w:line="360" w:lineRule="auto"/>
        <w:ind w:firstLine="480" w:firstLineChars="200"/>
        <w:rPr>
          <w:rFonts w:ascii="宋体" w:hAnsi="宋体"/>
          <w:sz w:val="24"/>
        </w:rPr>
      </w:pPr>
    </w:p>
    <w:p>
      <w:pPr>
        <w:adjustRightInd w:val="0"/>
        <w:snapToGrid w:val="0"/>
        <w:spacing w:line="360" w:lineRule="auto"/>
        <w:ind w:left="1365" w:leftChars="650"/>
        <w:rPr>
          <w:rFonts w:ascii="宋体" w:hAnsi="宋体"/>
          <w:b/>
          <w:bCs/>
          <w:sz w:val="32"/>
          <w:szCs w:val="32"/>
        </w:rPr>
      </w:pPr>
      <w:r>
        <w:rPr>
          <w:rFonts w:hint="eastAsia" w:ascii="宋体" w:hAnsi="宋体"/>
          <w:b/>
          <w:bCs/>
          <w:sz w:val="32"/>
          <w:szCs w:val="32"/>
        </w:rPr>
        <w:t>6、投标人认为需要提供的其他资料</w:t>
      </w:r>
    </w:p>
    <w:p>
      <w:pPr>
        <w:adjustRightInd w:val="0"/>
        <w:snapToGrid w:val="0"/>
        <w:spacing w:line="360" w:lineRule="auto"/>
      </w:pPr>
    </w:p>
    <w:sectPr>
      <w:headerReference r:id="rId11" w:type="default"/>
      <w:pgSz w:w="11907" w:h="16840"/>
      <w:pgMar w:top="1701" w:right="1302" w:bottom="1701" w:left="1575" w:header="851" w:footer="130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0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6"/>
                            <w:rPr>
                              <w:rStyle w:val="43"/>
                            </w:rPr>
                          </w:pPr>
                          <w:r>
                            <w:fldChar w:fldCharType="begin"/>
                          </w:r>
                          <w:r>
                            <w:rPr>
                              <w:rStyle w:val="43"/>
                            </w:rPr>
                            <w:instrText xml:space="preserve">PAGE  </w:instrText>
                          </w:r>
                          <w:r>
                            <w:fldChar w:fldCharType="separate"/>
                          </w:r>
                          <w:r>
                            <w:rPr>
                              <w:rStyle w:val="43"/>
                            </w:rPr>
                            <w:t>8</w:t>
                          </w:r>
                          <w:r>
                            <w:fldChar w:fldCharType="end"/>
                          </w:r>
                        </w:p>
                      </w:txbxContent>
                    </wps:txbx>
                    <wps:bodyPr wrap="none" lIns="0" tIns="0" rIns="0" bIns="0" upright="1">
                      <a:spAutoFit/>
                    </wps:bodyPr>
                  </wps:wsp>
                </a:graphicData>
              </a:graphic>
            </wp:anchor>
          </w:drawing>
        </mc:Choice>
        <mc:Fallback>
          <w:pict>
            <v:rect id="文本框 1028"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rjBNU8YBAACKAwAADgAAAAAAAAABACAAAAAfAQAAZHJzL2Uyb0RvYy54&#10;bWxQSwUGAAAAAAYABgBZAQAAVwUAAAAA&#10;">
              <v:fill on="f" focussize="0,0"/>
              <v:stroke on="f"/>
              <v:imagedata o:title=""/>
              <o:lock v:ext="edit" aspectratio="f"/>
              <v:textbox inset="0mm,0mm,0mm,0mm" style="mso-fit-shape-to-text:t;">
                <w:txbxContent>
                  <w:p>
                    <w:pPr>
                      <w:pStyle w:val="26"/>
                      <w:rPr>
                        <w:rStyle w:val="43"/>
                      </w:rPr>
                    </w:pPr>
                    <w:r>
                      <w:fldChar w:fldCharType="begin"/>
                    </w:r>
                    <w:r>
                      <w:rPr>
                        <w:rStyle w:val="43"/>
                      </w:rPr>
                      <w:instrText xml:space="preserve">PAGE  </w:instrText>
                    </w:r>
                    <w:r>
                      <w:fldChar w:fldCharType="separate"/>
                    </w:r>
                    <w:r>
                      <w:rPr>
                        <w:rStyle w:val="43"/>
                      </w:rPr>
                      <w:t>8</w:t>
                    </w:r>
                    <w:r>
                      <w:fldChar w:fldCharType="end"/>
                    </w:r>
                  </w:p>
                </w:txbxContent>
              </v:textbox>
            </v:rect>
          </w:pict>
        </mc:Fallback>
      </mc:AlternateContent>
    </w:r>
    <w:r>
      <mc:AlternateContent>
        <mc:Choice Requires="wps">
          <w:drawing>
            <wp:anchor distT="0" distB="0" distL="0" distR="0" simplePos="0" relativeHeight="251660288" behindDoc="0" locked="0" layoutInCell="1" allowOverlap="1">
              <wp:simplePos x="0" y="0"/>
              <wp:positionH relativeFrom="column">
                <wp:posOffset>533400</wp:posOffset>
              </wp:positionH>
              <wp:positionV relativeFrom="paragraph">
                <wp:posOffset>95885</wp:posOffset>
              </wp:positionV>
              <wp:extent cx="2362200" cy="302895"/>
              <wp:effectExtent l="0" t="0" r="0" b="1905"/>
              <wp:wrapNone/>
              <wp:docPr id="4098" name="Text Box 3"/>
              <wp:cNvGraphicFramePr/>
              <a:graphic xmlns:a="http://schemas.openxmlformats.org/drawingml/2006/main">
                <a:graphicData uri="http://schemas.microsoft.com/office/word/2010/wordprocessingShape">
                  <wps:wsp>
                    <wps:cNvSpPr/>
                    <wps:spPr>
                      <a:xfrm>
                        <a:off x="0" y="0"/>
                        <a:ext cx="2362200" cy="302895"/>
                      </a:xfrm>
                      <a:prstGeom prst="rect">
                        <a:avLst/>
                      </a:prstGeom>
                      <a:solidFill>
                        <a:srgbClr val="FFFFFF"/>
                      </a:solidFill>
                      <a:ln>
                        <a:noFill/>
                      </a:ln>
                    </wps:spPr>
                    <wps:txbx>
                      <w:txbxContent>
                        <w:p>
                          <w:pPr>
                            <w:pStyle w:val="26"/>
                            <w:rPr>
                              <w:rFonts w:ascii="黑体" w:eastAsia="黑体"/>
                              <w:sz w:val="28"/>
                              <w:szCs w:val="28"/>
                            </w:rPr>
                          </w:pPr>
                          <w:r>
                            <w:rPr>
                              <w:rFonts w:hint="eastAsia" w:ascii="黑体" w:hAnsi="宋体" w:eastAsia="黑体"/>
                              <w:sz w:val="28"/>
                              <w:szCs w:val="28"/>
                            </w:rPr>
                            <w:t>五矿国际招标有限责任公司</w:t>
                          </w:r>
                        </w:p>
                        <w:p/>
                      </w:txbxContent>
                    </wps:txbx>
                    <wps:bodyPr upright="1"/>
                  </wps:wsp>
                </a:graphicData>
              </a:graphic>
            </wp:anchor>
          </w:drawing>
        </mc:Choice>
        <mc:Fallback>
          <w:pict>
            <v:rect id="Text Box 3" o:spid="_x0000_s1026" o:spt="1" style="position:absolute;left:0pt;margin-left:42pt;margin-top:7.55pt;height:23.85pt;width:186pt;z-index:251660288;mso-width-relative:page;mso-height-relative:page;" fillcolor="#FFFFFF" filled="t" stroked="f" coordsize="21600,21600" o:gfxdata="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SERC1gAA&#10;AAgBAAAPAAAAAAAAAAEAIAAAACIAAABkcnMvZG93bnJldi54bWxQSwECFAAUAAAACACHTuJA0P1H&#10;RK4BAABvAwAADgAAAAAAAAABACAAAAAlAQAAZHJzL2Uyb0RvYy54bWxQSwUGAAAAAAYABgBZAQAA&#10;RQUAAAAA&#10;">
              <v:fill on="t" focussize="0,0"/>
              <v:stroke on="f"/>
              <v:imagedata o:title=""/>
              <o:lock v:ext="edit" aspectratio="f"/>
              <v:textbox>
                <w:txbxContent>
                  <w:p>
                    <w:pPr>
                      <w:pStyle w:val="26"/>
                      <w:rPr>
                        <w:rFonts w:ascii="黑体" w:eastAsia="黑体"/>
                        <w:sz w:val="28"/>
                        <w:szCs w:val="28"/>
                      </w:rPr>
                    </w:pPr>
                    <w:r>
                      <w:rPr>
                        <w:rFonts w:hint="eastAsia" w:ascii="黑体" w:hAnsi="宋体" w:eastAsia="黑体"/>
                        <w:sz w:val="28"/>
                        <w:szCs w:val="28"/>
                      </w:rPr>
                      <w:t>五矿国际招标有限责任公司</w:t>
                    </w:r>
                  </w:p>
                  <w:p/>
                </w:txbxContent>
              </v:textbox>
            </v:rect>
          </w:pict>
        </mc:Fallback>
      </mc:AlternateContent>
    </w:r>
    <w:r>
      <w:drawing>
        <wp:anchor distT="0" distB="0" distL="114300" distR="114300" simplePos="0" relativeHeight="251661312" behindDoc="0" locked="0" layoutInCell="1" allowOverlap="1">
          <wp:simplePos x="0" y="0"/>
          <wp:positionH relativeFrom="column">
            <wp:posOffset>81280</wp:posOffset>
          </wp:positionH>
          <wp:positionV relativeFrom="paragraph">
            <wp:posOffset>45720</wp:posOffset>
          </wp:positionV>
          <wp:extent cx="400050" cy="421005"/>
          <wp:effectExtent l="19050" t="0" r="0" b="0"/>
          <wp:wrapSquare wrapText="bothSides"/>
          <wp:docPr id="4099" name="Picture 2" descr="司徽"/>
          <wp:cNvGraphicFramePr/>
          <a:graphic xmlns:a="http://schemas.openxmlformats.org/drawingml/2006/main">
            <a:graphicData uri="http://schemas.openxmlformats.org/drawingml/2006/picture">
              <pic:pic xmlns:pic="http://schemas.openxmlformats.org/drawingml/2006/picture">
                <pic:nvPicPr>
                  <pic:cNvPr id="4099" name="Picture 2" descr="司徽"/>
                  <pic:cNvPicPr/>
                </pic:nvPicPr>
                <pic:blipFill>
                  <a:blip r:embed="rId1" cstate="print">
                    <a:lum contrast="36000"/>
                  </a:blip>
                  <a:srcRect/>
                  <a:stretch>
                    <a:fillRect/>
                  </a:stretch>
                </pic:blipFill>
                <pic:spPr>
                  <a:xfrm>
                    <a:off x="0" y="0"/>
                    <a:ext cx="400050" cy="421005"/>
                  </a:xfrm>
                  <a:prstGeom prst="rect">
                    <a:avLst/>
                  </a:prstGeom>
                  <a:ln>
                    <a:noFill/>
                  </a:ln>
                </pic:spPr>
              </pic:pic>
            </a:graphicData>
          </a:graphic>
        </wp:anchor>
      </w:drawing>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10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6"/>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rect id="文本框 1029" o:spid="_x0000_s1026" o:spt="1"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pshaDEAQAAig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rUoyxQlLM7/8/HH59efy&#10;+zuryuX7ZFIfcE1vH8I9TBlSmBQPLdj0S1rYkI09X41VQ2SSLqvVcrVK8JJqc0I4xePfA2D8oLxl&#10;Kag50OSyoeL0CeP4dH6SuhmXTufvtDFjNd0UieZILEVx2A8T271vziS0p0nX3NFic2Y+OjIyLcUc&#10;wBzs5+AYQB864lNlMhhuj5F6ZkKpwwg7NaYRZUnTOqUd+DfPrx4/oe1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pshaDEAQAAigMAAA4AAAAAAAAAAQAgAAAAHwEAAGRycy9lMm9Eb2MueG1s&#10;UEsFBgAAAAAGAAYAWQEAAFU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720" w:firstLineChars="400"/>
      <w:rPr>
        <w:rFonts w:ascii="黑体" w:eastAsia="黑体"/>
        <w:sz w:val="28"/>
        <w:szCs w:val="28"/>
      </w:rPr>
    </w:pPr>
    <w:r>
      <w:drawing>
        <wp:anchor distT="0" distB="0" distL="114300" distR="114300" simplePos="0" relativeHeight="251663360" behindDoc="0" locked="0" layoutInCell="1" allowOverlap="1">
          <wp:simplePos x="0" y="0"/>
          <wp:positionH relativeFrom="column">
            <wp:posOffset>-1905</wp:posOffset>
          </wp:positionH>
          <wp:positionV relativeFrom="paragraph">
            <wp:posOffset>-37465</wp:posOffset>
          </wp:positionV>
          <wp:extent cx="400050" cy="421005"/>
          <wp:effectExtent l="19050" t="0" r="0" b="0"/>
          <wp:wrapSquare wrapText="bothSides"/>
          <wp:docPr id="4101" name="Picture 2" descr="司徽"/>
          <wp:cNvGraphicFramePr/>
          <a:graphic xmlns:a="http://schemas.openxmlformats.org/drawingml/2006/main">
            <a:graphicData uri="http://schemas.openxmlformats.org/drawingml/2006/picture">
              <pic:pic xmlns:pic="http://schemas.openxmlformats.org/drawingml/2006/picture">
                <pic:nvPicPr>
                  <pic:cNvPr id="4101" name="Picture 2" descr="司徽"/>
                  <pic:cNvPicPr/>
                </pic:nvPicPr>
                <pic:blipFill>
                  <a:blip r:embed="rId1" cstate="print">
                    <a:lum contrast="36000"/>
                  </a:blip>
                  <a:srcRect/>
                  <a:stretch>
                    <a:fillRect/>
                  </a:stretch>
                </pic:blipFill>
                <pic:spPr>
                  <a:xfrm>
                    <a:off x="0" y="0"/>
                    <a:ext cx="400050" cy="421005"/>
                  </a:xfrm>
                  <a:prstGeom prst="rect">
                    <a:avLst/>
                  </a:prstGeom>
                  <a:ln>
                    <a:noFill/>
                  </a:ln>
                </pic:spPr>
              </pic:pic>
            </a:graphicData>
          </a:graphic>
        </wp:anchor>
      </w:drawing>
    </w:r>
    <w:r>
      <w:rPr>
        <w:rFonts w:hint="eastAsia" w:ascii="黑体" w:hAnsi="宋体" w:eastAsia="黑体"/>
        <w:sz w:val="28"/>
        <w:szCs w:val="28"/>
      </w:rPr>
      <w:t>五矿国际招标有限责任公司</w:t>
    </w:r>
  </w:p>
  <w:p/>
  <w:p>
    <w:pPr>
      <w:pStyle w:val="26"/>
      <w:jc w:val="center"/>
    </w:pPr>
    <w:r>
      <mc:AlternateContent>
        <mc:Choice Requires="wps">
          <w:drawing>
            <wp:anchor distT="0" distB="0" distL="0" distR="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2" name="文本框 10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6"/>
                            <w:jc w:val="center"/>
                          </w:pPr>
                          <w:r>
                            <w:t xml:space="preserve">- </w:t>
                          </w:r>
                          <w:r>
                            <w:fldChar w:fldCharType="begin"/>
                          </w:r>
                          <w:r>
                            <w:instrText xml:space="preserve">PAGE   \* MERGEFORMAT</w:instrText>
                          </w:r>
                          <w:r>
                            <w:fldChar w:fldCharType="separate"/>
                          </w:r>
                          <w:r>
                            <w:rPr>
                              <w:lang w:val="zh-CN"/>
                            </w:rPr>
                            <w:t>29</w:t>
                          </w:r>
                          <w:r>
                            <w:rPr>
                              <w:lang w:val="zh-CN"/>
                            </w:rPr>
                            <w:fldChar w:fldCharType="end"/>
                          </w:r>
                          <w:r>
                            <w:t xml:space="preserve"> -</w:t>
                          </w:r>
                        </w:p>
                      </w:txbxContent>
                    </wps:txbx>
                    <wps:bodyPr wrap="none" lIns="0" tIns="0" rIns="0" bIns="0" upright="1">
                      <a:spAutoFit/>
                    </wps:bodyPr>
                  </wps:wsp>
                </a:graphicData>
              </a:graphic>
            </wp:anchor>
          </w:drawing>
        </mc:Choice>
        <mc:Fallback>
          <w:pict>
            <v:rect id="文本框 1033" o:spid="_x0000_s1026" o:spt="1"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rEiFHcYBAACKAwAADgAAAAAAAAABACAAAAAfAQAAZHJzL2Uyb0RvYy54&#10;bWxQSwUGAAAAAAYABgBZAQAAVwUAAAAA&#10;">
              <v:fill on="f" focussize="0,0"/>
              <v:stroke on="f"/>
              <v:imagedata o:title=""/>
              <o:lock v:ext="edit" aspectratio="f"/>
              <v:textbox inset="0mm,0mm,0mm,0mm" style="mso-fit-shape-to-text:t;">
                <w:txbxContent>
                  <w:p>
                    <w:pPr>
                      <w:pStyle w:val="26"/>
                      <w:jc w:val="center"/>
                    </w:pPr>
                    <w:r>
                      <w:t xml:space="preserve">- </w:t>
                    </w:r>
                    <w:r>
                      <w:fldChar w:fldCharType="begin"/>
                    </w:r>
                    <w:r>
                      <w:instrText xml:space="preserve">PAGE   \* MERGEFORMAT</w:instrText>
                    </w:r>
                    <w:r>
                      <w:fldChar w:fldCharType="separate"/>
                    </w:r>
                    <w:r>
                      <w:rPr>
                        <w:lang w:val="zh-CN"/>
                      </w:rPr>
                      <w:t>29</w:t>
                    </w:r>
                    <w:r>
                      <w:rPr>
                        <w:lang w:val="zh-CN"/>
                      </w:rPr>
                      <w:fldChar w:fldCharType="end"/>
                    </w:r>
                    <w: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drawing>
        <wp:anchor distT="0" distB="0" distL="114300" distR="114300" simplePos="0" relativeHeight="251665408" behindDoc="0" locked="0" layoutInCell="1" allowOverlap="1">
          <wp:simplePos x="0" y="0"/>
          <wp:positionH relativeFrom="column">
            <wp:posOffset>-92075</wp:posOffset>
          </wp:positionH>
          <wp:positionV relativeFrom="paragraph">
            <wp:posOffset>97790</wp:posOffset>
          </wp:positionV>
          <wp:extent cx="400050" cy="421005"/>
          <wp:effectExtent l="19050" t="0" r="0" b="0"/>
          <wp:wrapSquare wrapText="bothSides"/>
          <wp:docPr id="4103" name="图片 1031" descr="司徽"/>
          <wp:cNvGraphicFramePr/>
          <a:graphic xmlns:a="http://schemas.openxmlformats.org/drawingml/2006/main">
            <a:graphicData uri="http://schemas.openxmlformats.org/drawingml/2006/picture">
              <pic:pic xmlns:pic="http://schemas.openxmlformats.org/drawingml/2006/picture">
                <pic:nvPicPr>
                  <pic:cNvPr id="4103" name="图片 1031" descr="司徽"/>
                  <pic:cNvPicPr/>
                </pic:nvPicPr>
                <pic:blipFill>
                  <a:blip r:embed="rId1" cstate="print">
                    <a:lum contrast="36000"/>
                  </a:blip>
                  <a:srcRect/>
                  <a:stretch>
                    <a:fillRect/>
                  </a:stretch>
                </pic:blipFill>
                <pic:spPr>
                  <a:xfrm>
                    <a:off x="0" y="0"/>
                    <a:ext cx="400050" cy="421005"/>
                  </a:xfrm>
                  <a:prstGeom prst="rect">
                    <a:avLst/>
                  </a:prstGeom>
                  <a:ln>
                    <a:noFill/>
                  </a:ln>
                </pic:spPr>
              </pic:pic>
            </a:graphicData>
          </a:graphic>
        </wp:anchor>
      </w:drawing>
    </w:r>
    <w:r>
      <mc:AlternateContent>
        <mc:Choice Requires="wps">
          <w:drawing>
            <wp:anchor distT="0" distB="0" distL="0" distR="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104"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6"/>
                            <w:jc w:val="center"/>
                          </w:pPr>
                          <w:r>
                            <w:t xml:space="preserve">- </w:t>
                          </w:r>
                          <w:r>
                            <w:fldChar w:fldCharType="begin"/>
                          </w:r>
                          <w:r>
                            <w:instrText xml:space="preserve">PAGE   \* MERGEFORMAT</w:instrText>
                          </w:r>
                          <w:r>
                            <w:fldChar w:fldCharType="separate"/>
                          </w:r>
                          <w:r>
                            <w:rPr>
                              <w:lang w:val="zh-CN"/>
                            </w:rPr>
                            <w:t>64</w:t>
                          </w:r>
                          <w:r>
                            <w:rPr>
                              <w:lang w:val="zh-CN"/>
                            </w:rPr>
                            <w:fldChar w:fldCharType="end"/>
                          </w:r>
                          <w:r>
                            <w:t xml:space="preserve"> -</w:t>
                          </w:r>
                        </w:p>
                      </w:txbxContent>
                    </wps:txbx>
                    <wps:bodyPr wrap="none" lIns="0" tIns="0" rIns="0" bIns="0" upright="1">
                      <a:spAutoFit/>
                    </wps:bodyPr>
                  </wps:wsp>
                </a:graphicData>
              </a:graphic>
            </wp:anchor>
          </w:drawing>
        </mc:Choice>
        <mc:Fallback>
          <w:pict>
            <v:rect id="文本框 1030" o:spid="_x0000_s1026" o:spt="1"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rSUg9xQEAAIoDAAAOAAAAAAAAAAEAIAAAAB8BAABkcnMvZTJvRG9jLnht&#10;bFBLBQYAAAAABgAGAFkBAABWBQAAAAA=&#10;">
              <v:fill on="f" focussize="0,0"/>
              <v:stroke on="f"/>
              <v:imagedata o:title=""/>
              <o:lock v:ext="edit" aspectratio="f"/>
              <v:textbox inset="0mm,0mm,0mm,0mm" style="mso-fit-shape-to-text:t;">
                <w:txbxContent>
                  <w:p>
                    <w:pPr>
                      <w:pStyle w:val="26"/>
                      <w:jc w:val="center"/>
                    </w:pPr>
                    <w:r>
                      <w:t xml:space="preserve">- </w:t>
                    </w:r>
                    <w:r>
                      <w:fldChar w:fldCharType="begin"/>
                    </w:r>
                    <w:r>
                      <w:instrText xml:space="preserve">PAGE   \* MERGEFORMAT</w:instrText>
                    </w:r>
                    <w:r>
                      <w:fldChar w:fldCharType="separate"/>
                    </w:r>
                    <w:r>
                      <w:rPr>
                        <w:lang w:val="zh-CN"/>
                      </w:rPr>
                      <w:t>64</w:t>
                    </w:r>
                    <w:r>
                      <w:rPr>
                        <w:lang w:val="zh-CN"/>
                      </w:rPr>
                      <w:fldChar w:fldCharType="end"/>
                    </w:r>
                    <w:r>
                      <w:t xml:space="preserve"> -</w:t>
                    </w:r>
                  </w:p>
                </w:txbxContent>
              </v:textbox>
            </v:rect>
          </w:pict>
        </mc:Fallback>
      </mc:AlternateContent>
    </w:r>
  </w:p>
  <w:p>
    <w:pPr>
      <w:ind w:firstLine="840" w:firstLineChars="300"/>
      <w:rPr>
        <w:rFonts w:ascii="黑体" w:eastAsia="黑体"/>
        <w:sz w:val="28"/>
        <w:szCs w:val="28"/>
      </w:rPr>
    </w:pPr>
    <w:r>
      <w:rPr>
        <w:rFonts w:hint="eastAsia" w:ascii="黑体" w:hAnsi="宋体" w:eastAsia="黑体"/>
        <w:sz w:val="28"/>
        <w:szCs w:val="28"/>
      </w:rPr>
      <w:t>五矿国际招标有限责任公司</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宋体" w:hAnsi="宋体"/>
        <w:sz w:val="21"/>
        <w:szCs w:val="21"/>
        <w:lang w:val="zh-CN" w:eastAsia="zh-CN"/>
      </w:rPr>
    </w:pPr>
    <w:r>
      <w:rPr>
        <w:rFonts w:hint="eastAsia" w:ascii="宋体" w:hAnsi="宋体"/>
        <w:sz w:val="21"/>
        <w:szCs w:val="21"/>
        <w:lang w:val="en-US" w:eastAsia="zh-CN"/>
      </w:rPr>
      <w:t>中国工商银行亳州分行</w:t>
    </w:r>
    <w:r>
      <w:rPr>
        <w:rFonts w:hint="eastAsia" w:ascii="宋体" w:hAnsi="宋体"/>
        <w:sz w:val="21"/>
        <w:szCs w:val="21"/>
        <w:lang w:val="zh-CN" w:eastAsia="zh-CN"/>
      </w:rPr>
      <w:t>亳州市人力资源和社会保障局会议室系统改造</w:t>
    </w:r>
    <w:r>
      <w:rPr>
        <w:rFonts w:hint="eastAsia" w:ascii="宋体" w:hAnsi="宋体"/>
        <w:sz w:val="21"/>
        <w:szCs w:val="21"/>
        <w:lang w:val="en-US" w:eastAsia="zh-CN"/>
      </w:rPr>
      <w:t>合作</w:t>
    </w:r>
    <w:r>
      <w:rPr>
        <w:rFonts w:hint="eastAsia" w:ascii="宋体" w:hAnsi="宋体"/>
        <w:sz w:val="21"/>
        <w:szCs w:val="21"/>
        <w:lang w:val="zh-CN"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sz w:val="21"/>
        <w:szCs w:val="21"/>
      </w:rPr>
    </w:pPr>
    <w:r>
      <w:rPr>
        <w:rFonts w:hint="eastAsia" w:ascii="宋体" w:hAnsi="宋体"/>
        <w:sz w:val="21"/>
        <w:szCs w:val="21"/>
        <w:lang w:val="en-US" w:eastAsia="zh-CN"/>
      </w:rPr>
      <w:t>中国工商银行亳州分行</w:t>
    </w:r>
    <w:r>
      <w:rPr>
        <w:rFonts w:hint="eastAsia" w:ascii="宋体" w:hAnsi="宋体"/>
        <w:sz w:val="21"/>
        <w:szCs w:val="21"/>
        <w:lang w:val="zh-CN" w:eastAsia="zh-CN"/>
      </w:rPr>
      <w:t>亳州市人力资源和社会保障局会议室系统改造</w:t>
    </w:r>
    <w:r>
      <w:rPr>
        <w:rFonts w:hint="eastAsia" w:ascii="宋体" w:hAnsi="宋体"/>
        <w:sz w:val="21"/>
        <w:szCs w:val="21"/>
        <w:lang w:val="en-US" w:eastAsia="zh-CN"/>
      </w:rPr>
      <w:t>合作</w:t>
    </w:r>
    <w:r>
      <w:rPr>
        <w:rFonts w:hint="eastAsia" w:ascii="宋体" w:hAnsi="宋体"/>
        <w:sz w:val="21"/>
        <w:szCs w:val="21"/>
        <w:lang w:val="zh-CN" w:eastAsia="zh-CN"/>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sz w:val="21"/>
        <w:szCs w:val="21"/>
      </w:rPr>
    </w:pPr>
    <w:r>
      <w:rPr>
        <w:rFonts w:hint="eastAsia" w:ascii="宋体" w:hAnsi="宋体"/>
        <w:sz w:val="21"/>
        <w:szCs w:val="21"/>
        <w:lang w:val="en-US" w:eastAsia="zh-CN"/>
      </w:rPr>
      <w:t>中国工商银行亳州分行</w:t>
    </w:r>
    <w:r>
      <w:rPr>
        <w:rFonts w:hint="eastAsia" w:ascii="宋体" w:hAnsi="宋体"/>
        <w:sz w:val="21"/>
        <w:szCs w:val="21"/>
        <w:lang w:val="zh-CN" w:eastAsia="zh-CN"/>
      </w:rPr>
      <w:t>亳州市人力资源和社会保障局会议室系统改造</w:t>
    </w:r>
    <w:r>
      <w:rPr>
        <w:rFonts w:hint="eastAsia" w:ascii="宋体" w:hAnsi="宋体"/>
        <w:sz w:val="21"/>
        <w:szCs w:val="21"/>
        <w:lang w:val="en-US" w:eastAsia="zh-CN"/>
      </w:rPr>
      <w:t>合作</w:t>
    </w:r>
    <w:r>
      <w:rPr>
        <w:rFonts w:hint="eastAsia" w:ascii="宋体" w:hAnsi="宋体"/>
        <w:sz w:val="21"/>
        <w:szCs w:val="21"/>
        <w:lang w:val="zh-CN" w:eastAsia="zh-CN"/>
      </w:rPr>
      <w:t>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sz w:val="21"/>
        <w:szCs w:val="21"/>
      </w:rPr>
    </w:pPr>
    <w:r>
      <w:rPr>
        <w:rFonts w:hint="eastAsia" w:ascii="宋体" w:hAnsi="宋体"/>
        <w:sz w:val="21"/>
        <w:szCs w:val="21"/>
        <w:lang w:val="en-US" w:eastAsia="zh-CN"/>
      </w:rPr>
      <w:t>中国工商银行亳州分行</w:t>
    </w:r>
    <w:r>
      <w:rPr>
        <w:rFonts w:hint="eastAsia" w:ascii="宋体" w:hAnsi="宋体"/>
        <w:sz w:val="21"/>
        <w:szCs w:val="21"/>
        <w:lang w:val="zh-CN" w:eastAsia="zh-CN"/>
      </w:rPr>
      <w:t>亳州市人力资源和社会保障局会议室系统改造</w:t>
    </w:r>
    <w:r>
      <w:rPr>
        <w:rFonts w:hint="eastAsia" w:ascii="宋体" w:hAnsi="宋体"/>
        <w:sz w:val="21"/>
        <w:szCs w:val="21"/>
        <w:lang w:val="en-US" w:eastAsia="zh-CN"/>
      </w:rPr>
      <w:t>合作</w:t>
    </w:r>
    <w:r>
      <w:rPr>
        <w:rFonts w:hint="eastAsia" w:ascii="宋体" w:hAnsi="宋体"/>
        <w:sz w:val="21"/>
        <w:szCs w:val="21"/>
        <w:lang w:val="zh-CN" w:eastAsia="zh-CN"/>
      </w:rPr>
      <w:t>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ascii="宋体" w:hAnsi="宋体"/>
        <w:sz w:val="21"/>
        <w:szCs w:val="21"/>
        <w:lang w:val="en-US" w:eastAsia="zh-CN"/>
      </w:rPr>
      <w:t>中国工商银行亳州分行</w:t>
    </w:r>
    <w:r>
      <w:rPr>
        <w:rFonts w:hint="eastAsia" w:ascii="宋体" w:hAnsi="宋体"/>
        <w:sz w:val="21"/>
        <w:szCs w:val="21"/>
        <w:lang w:val="zh-CN" w:eastAsia="zh-CN"/>
      </w:rPr>
      <w:t>亳州市人力资源和社会保障局会议室系统改造</w:t>
    </w:r>
    <w:r>
      <w:rPr>
        <w:rFonts w:hint="eastAsia" w:ascii="宋体" w:hAnsi="宋体"/>
        <w:sz w:val="21"/>
        <w:szCs w:val="21"/>
        <w:lang w:val="en-US" w:eastAsia="zh-CN"/>
      </w:rPr>
      <w:t>合作</w:t>
    </w:r>
    <w:r>
      <w:rPr>
        <w:rFonts w:hint="eastAsia" w:ascii="宋体" w:hAnsi="宋体"/>
        <w:sz w:val="21"/>
        <w:szCs w:val="21"/>
        <w:lang w:val="zh-CN" w:eastAsia="zh-CN"/>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96F1"/>
    <w:multiLevelType w:val="singleLevel"/>
    <w:tmpl w:val="818696F1"/>
    <w:lvl w:ilvl="0" w:tentative="0">
      <w:start w:val="1"/>
      <w:numFmt w:val="decimal"/>
      <w:suff w:val="nothing"/>
      <w:lvlText w:val="%1、"/>
      <w:lvlJc w:val="left"/>
    </w:lvl>
  </w:abstractNum>
  <w:abstractNum w:abstractNumId="1">
    <w:nsid w:val="8C3629CF"/>
    <w:multiLevelType w:val="multilevel"/>
    <w:tmpl w:val="8C3629CF"/>
    <w:lvl w:ilvl="0" w:tentative="0">
      <w:start w:val="3"/>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2"/>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AE43893"/>
    <w:multiLevelType w:val="singleLevel"/>
    <w:tmpl w:val="AAE43893"/>
    <w:lvl w:ilvl="0" w:tentative="0">
      <w:start w:val="1"/>
      <w:numFmt w:val="decimal"/>
      <w:lvlText w:val="%1."/>
      <w:lvlJc w:val="left"/>
      <w:pPr>
        <w:tabs>
          <w:tab w:val="left" w:pos="312"/>
        </w:tabs>
      </w:pPr>
    </w:lvl>
  </w:abstractNum>
  <w:abstractNum w:abstractNumId="3">
    <w:nsid w:val="C66190A6"/>
    <w:multiLevelType w:val="multilevel"/>
    <w:tmpl w:val="C66190A6"/>
    <w:lvl w:ilvl="0" w:tentative="0">
      <w:start w:val="3"/>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C7212BA6"/>
    <w:multiLevelType w:val="singleLevel"/>
    <w:tmpl w:val="C7212BA6"/>
    <w:lvl w:ilvl="0" w:tentative="0">
      <w:start w:val="1"/>
      <w:numFmt w:val="decimal"/>
      <w:lvlText w:val="%1."/>
      <w:lvlJc w:val="left"/>
      <w:pPr>
        <w:tabs>
          <w:tab w:val="left" w:pos="312"/>
        </w:tabs>
      </w:pPr>
    </w:lvl>
  </w:abstractNum>
  <w:abstractNum w:abstractNumId="5">
    <w:nsid w:val="00000001"/>
    <w:multiLevelType w:val="singleLevel"/>
    <w:tmpl w:val="00000001"/>
    <w:lvl w:ilvl="0" w:tentative="0">
      <w:start w:val="2"/>
      <w:numFmt w:val="chineseCounting"/>
      <w:suff w:val="nothing"/>
      <w:lvlText w:val="%1、"/>
      <w:lvlJc w:val="left"/>
      <w:rPr>
        <w:rFonts w:hint="eastAsia"/>
      </w:rPr>
    </w:lvl>
  </w:abstractNum>
  <w:abstractNum w:abstractNumId="6">
    <w:nsid w:val="00000002"/>
    <w:multiLevelType w:val="multilevel"/>
    <w:tmpl w:val="00000002"/>
    <w:lvl w:ilvl="0" w:tentative="0">
      <w:start w:val="1"/>
      <w:numFmt w:val="decimal"/>
      <w:lvlText w:val="第%1章 "/>
      <w:lvlJc w:val="left"/>
      <w:pPr>
        <w:tabs>
          <w:tab w:val="left" w:pos="0"/>
        </w:tabs>
        <w:ind w:left="0" w:firstLine="0"/>
      </w:pPr>
      <w:rPr>
        <w:rFonts w:hint="eastAsia"/>
      </w:rPr>
    </w:lvl>
    <w:lvl w:ilvl="1" w:tentative="0">
      <w:start w:val="1"/>
      <w:numFmt w:val="decimal"/>
      <w:lvlText w:val="%1.%2 "/>
      <w:lvlJc w:val="left"/>
      <w:pPr>
        <w:tabs>
          <w:tab w:val="left" w:pos="426"/>
        </w:tabs>
        <w:ind w:left="426" w:firstLine="0"/>
      </w:pPr>
      <w:rPr>
        <w:rFonts w:hint="eastAsia" w:ascii="宋体" w:hAnsi="宋体" w:eastAsia="宋体"/>
        <w:b/>
        <w:sz w:val="24"/>
        <w:szCs w:val="24"/>
      </w:rPr>
    </w:lvl>
    <w:lvl w:ilvl="2" w:tentative="0">
      <w:start w:val="1"/>
      <w:numFmt w:val="decimal"/>
      <w:pStyle w:val="137"/>
      <w:lvlText w:val="%1.%2.%3"/>
      <w:lvlJc w:val="left"/>
      <w:pPr>
        <w:tabs>
          <w:tab w:val="left" w:pos="0"/>
        </w:tabs>
        <w:ind w:left="0" w:firstLine="0"/>
      </w:pPr>
      <w:rPr>
        <w:rFonts w:hint="eastAsia" w:ascii="宋体" w:hAnsi="宋体" w:eastAsia="宋体"/>
        <w:b w:val="0"/>
        <w:sz w:val="24"/>
        <w:szCs w:val="24"/>
      </w:rPr>
    </w:lvl>
    <w:lvl w:ilvl="3" w:tentative="0">
      <w:start w:val="1"/>
      <w:numFmt w:val="decimal"/>
      <w:lvlText w:val="%1.%2.%3.%4 "/>
      <w:lvlJc w:val="left"/>
      <w:pPr>
        <w:tabs>
          <w:tab w:val="left" w:pos="0"/>
        </w:tabs>
        <w:ind w:left="0" w:firstLine="0"/>
      </w:pPr>
      <w:rPr>
        <w:rFonts w:hint="eastAsia" w:ascii="宋体" w:hAnsi="宋体" w:eastAsia="宋体"/>
        <w:b w:val="0"/>
        <w:sz w:val="21"/>
        <w:szCs w:val="21"/>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7">
    <w:nsid w:val="00000003"/>
    <w:multiLevelType w:val="multilevel"/>
    <w:tmpl w:val="00000003"/>
    <w:lvl w:ilvl="0" w:tentative="0">
      <w:start w:val="1"/>
      <w:numFmt w:val="japaneseCounting"/>
      <w:lvlText w:val="第%1章"/>
      <w:lvlJc w:val="left"/>
      <w:pPr>
        <w:tabs>
          <w:tab w:val="left" w:pos="1770"/>
        </w:tabs>
        <w:ind w:left="1770" w:hanging="17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4"/>
    <w:multiLevelType w:val="multilevel"/>
    <w:tmpl w:val="00000004"/>
    <w:lvl w:ilvl="0" w:tentative="0">
      <w:start w:val="1"/>
      <w:numFmt w:val="chineseCountingThousand"/>
      <w:suff w:val="space"/>
      <w:lvlText w:val="%1."/>
      <w:lvlJc w:val="left"/>
      <w:pPr>
        <w:ind w:left="0" w:firstLine="0"/>
      </w:pPr>
      <w:rPr>
        <w:rFonts w:hint="eastAsia"/>
      </w:rPr>
    </w:lvl>
    <w:lvl w:ilvl="1" w:tentative="0">
      <w:start w:val="1"/>
      <w:numFmt w:val="decimal"/>
      <w:lvlText w:val="%1.%2"/>
      <w:lvlJc w:val="left"/>
      <w:pPr>
        <w:tabs>
          <w:tab w:val="left" w:pos="794"/>
        </w:tabs>
        <w:ind w:left="0" w:firstLine="0"/>
      </w:pPr>
      <w:rPr>
        <w:rFonts w:hint="default"/>
      </w:rPr>
    </w:lvl>
    <w:lvl w:ilvl="2" w:tentative="0">
      <w:start w:val="1"/>
      <w:numFmt w:val="decimal"/>
      <w:lvlText w:val="%1.%2.%3"/>
      <w:lvlJc w:val="left"/>
      <w:pPr>
        <w:tabs>
          <w:tab w:val="left" w:pos="794"/>
        </w:tabs>
        <w:ind w:left="0" w:firstLine="0"/>
      </w:pPr>
      <w:rPr>
        <w:rFonts w:hint="default"/>
      </w:rPr>
    </w:lvl>
    <w:lvl w:ilvl="3" w:tentative="0">
      <w:start w:val="1"/>
      <w:numFmt w:val="decimal"/>
      <w:suff w:val="space"/>
      <w:lvlText w:val="%1.%2.%3.%4"/>
      <w:lvlJc w:val="left"/>
      <w:pPr>
        <w:ind w:left="0" w:firstLine="0"/>
      </w:pPr>
      <w:rPr>
        <w:rFonts w:hint="default"/>
        <w:color w:val="666699"/>
      </w:rPr>
    </w:lvl>
    <w:lvl w:ilvl="4" w:tentative="0">
      <w:start w:val="1"/>
      <w:numFmt w:val="decimal"/>
      <w:lvlText w:val="%1.%2.%3.%4.%5"/>
      <w:lvlJc w:val="left"/>
      <w:pPr>
        <w:tabs>
          <w:tab w:val="left" w:pos="360"/>
        </w:tabs>
        <w:ind w:left="1211" w:hanging="851"/>
      </w:pPr>
      <w:rPr>
        <w:rFonts w:hint="default"/>
      </w:rPr>
    </w:lvl>
    <w:lvl w:ilvl="5" w:tentative="0">
      <w:start w:val="1"/>
      <w:numFmt w:val="decimal"/>
      <w:lvlText w:val="%1.%2.%3.%4.%5.%6"/>
      <w:lvlJc w:val="left"/>
      <w:pPr>
        <w:tabs>
          <w:tab w:val="left" w:pos="360"/>
        </w:tabs>
        <w:ind w:left="1211" w:hanging="851"/>
      </w:pPr>
      <w:rPr>
        <w:rFonts w:hint="default"/>
      </w:rPr>
    </w:lvl>
    <w:lvl w:ilvl="6" w:tentative="0">
      <w:start w:val="1"/>
      <w:numFmt w:val="decimal"/>
      <w:lvlText w:val="%1.%2.%3.%4.%5.%6.%7"/>
      <w:lvlJc w:val="left"/>
      <w:pPr>
        <w:tabs>
          <w:tab w:val="left" w:pos="360"/>
        </w:tabs>
        <w:ind w:left="1656" w:hanging="1296"/>
      </w:pPr>
      <w:rPr>
        <w:rFonts w:hint="default"/>
      </w:rPr>
    </w:lvl>
    <w:lvl w:ilvl="7" w:tentative="0">
      <w:start w:val="1"/>
      <w:numFmt w:val="decimal"/>
      <w:suff w:val="nothing"/>
      <w:lvlText w:val="Table %8:"/>
      <w:lvlJc w:val="left"/>
      <w:pPr>
        <w:ind w:left="1800" w:hanging="1440"/>
      </w:pPr>
      <w:rPr>
        <w:rFonts w:hint="default"/>
        <w:u w:val="single"/>
      </w:rPr>
    </w:lvl>
    <w:lvl w:ilvl="8" w:tentative="0">
      <w:start w:val="1"/>
      <w:numFmt w:val="decimal"/>
      <w:lvlText w:val="%1.%2.%3.%4.%5.%6.%7.%8.%9"/>
      <w:lvlJc w:val="left"/>
      <w:pPr>
        <w:tabs>
          <w:tab w:val="left" w:pos="360"/>
        </w:tabs>
        <w:ind w:left="1944" w:hanging="1584"/>
      </w:pPr>
      <w:rPr>
        <w:rFonts w:hint="default"/>
      </w:rPr>
    </w:lvl>
  </w:abstractNum>
  <w:abstractNum w:abstractNumId="9">
    <w:nsid w:val="0053208E"/>
    <w:multiLevelType w:val="singleLevel"/>
    <w:tmpl w:val="0053208E"/>
    <w:lvl w:ilvl="0" w:tentative="0">
      <w:start w:val="12"/>
      <w:numFmt w:val="decimal"/>
      <w:suff w:val="nothing"/>
      <w:lvlText w:val="%1、"/>
      <w:lvlJc w:val="left"/>
    </w:lvl>
  </w:abstractNum>
  <w:abstractNum w:abstractNumId="10">
    <w:nsid w:val="1DAE5E5F"/>
    <w:multiLevelType w:val="multilevel"/>
    <w:tmpl w:val="1DAE5E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E9E5387"/>
    <w:multiLevelType w:val="multilevel"/>
    <w:tmpl w:val="1E9E5387"/>
    <w:lvl w:ilvl="0" w:tentative="0">
      <w:start w:val="1"/>
      <w:numFmt w:val="decimal"/>
      <w:pStyle w:val="142"/>
      <w:lvlText w:val="第%1章"/>
      <w:lvlJc w:val="left"/>
      <w:pPr>
        <w:widowControl/>
        <w:ind w:left="432" w:hanging="432"/>
        <w:textAlignment w:val="baseline"/>
      </w:pPr>
    </w:lvl>
    <w:lvl w:ilvl="1" w:tentative="0">
      <w:start w:val="1"/>
      <w:numFmt w:val="decimal"/>
      <w:pStyle w:val="141"/>
      <w:lvlText w:val="%1.%2"/>
      <w:lvlJc w:val="left"/>
      <w:pPr>
        <w:widowControl/>
        <w:ind w:left="4262" w:hanging="576"/>
        <w:textAlignment w:val="baseline"/>
      </w:pPr>
    </w:lvl>
    <w:lvl w:ilvl="2" w:tentative="0">
      <w:start w:val="1"/>
      <w:numFmt w:val="decimal"/>
      <w:suff w:val="space"/>
      <w:lvlText w:val="%1.%2.%3"/>
      <w:lvlJc w:val="left"/>
      <w:pPr>
        <w:widowControl/>
        <w:ind w:left="0" w:firstLine="0"/>
        <w:textAlignment w:val="baseline"/>
      </w:pPr>
      <w:rPr>
        <w:rFonts w:ascii="Arial" w:hAnsi="Arial" w:eastAsia="黑体"/>
        <w:b w:val="0"/>
      </w:rPr>
    </w:lvl>
    <w:lvl w:ilvl="3" w:tentative="0">
      <w:start w:val="1"/>
      <w:numFmt w:val="decimal"/>
      <w:suff w:val="space"/>
      <w:lvlText w:val="%1.%2.%3.%4"/>
      <w:lvlJc w:val="left"/>
      <w:pPr>
        <w:widowControl/>
        <w:ind w:left="0" w:firstLine="0"/>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rPr>
        <w:b w:val="0"/>
      </w:r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12">
    <w:nsid w:val="44C1B39D"/>
    <w:multiLevelType w:val="multilevel"/>
    <w:tmpl w:val="44C1B39D"/>
    <w:lvl w:ilvl="0" w:tentative="0">
      <w:start w:val="3"/>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3"/>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54213875"/>
    <w:multiLevelType w:val="multilevel"/>
    <w:tmpl w:val="542138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B2A3327"/>
    <w:multiLevelType w:val="singleLevel"/>
    <w:tmpl w:val="5B2A3327"/>
    <w:lvl w:ilvl="0" w:tentative="0">
      <w:start w:val="1"/>
      <w:numFmt w:val="decimal"/>
      <w:lvlText w:val="%1)"/>
      <w:lvlJc w:val="left"/>
      <w:pPr>
        <w:tabs>
          <w:tab w:val="left" w:pos="425"/>
        </w:tabs>
        <w:ind w:left="425" w:hanging="425"/>
      </w:pPr>
      <w:rPr>
        <w:rFonts w:hint="default"/>
      </w:rPr>
    </w:lvl>
  </w:abstractNum>
  <w:abstractNum w:abstractNumId="15">
    <w:nsid w:val="5B2A33A8"/>
    <w:multiLevelType w:val="singleLevel"/>
    <w:tmpl w:val="5B2A33A8"/>
    <w:lvl w:ilvl="0" w:tentative="0">
      <w:start w:val="1"/>
      <w:numFmt w:val="decimal"/>
      <w:lvlText w:val="%1)"/>
      <w:lvlJc w:val="left"/>
      <w:pPr>
        <w:tabs>
          <w:tab w:val="left" w:pos="425"/>
        </w:tabs>
        <w:ind w:left="425" w:hanging="425"/>
      </w:pPr>
      <w:rPr>
        <w:rFonts w:hint="default"/>
      </w:rPr>
    </w:lvl>
  </w:abstractNum>
  <w:abstractNum w:abstractNumId="16">
    <w:nsid w:val="5B55A81B"/>
    <w:multiLevelType w:val="singleLevel"/>
    <w:tmpl w:val="5B55A81B"/>
    <w:lvl w:ilvl="0" w:tentative="0">
      <w:start w:val="1"/>
      <w:numFmt w:val="decimal"/>
      <w:lvlText w:val="%1)"/>
      <w:lvlJc w:val="left"/>
      <w:pPr>
        <w:tabs>
          <w:tab w:val="left" w:pos="425"/>
        </w:tabs>
        <w:ind w:left="425" w:hanging="425"/>
      </w:pPr>
      <w:rPr>
        <w:rFonts w:hint="default"/>
      </w:rPr>
    </w:lvl>
  </w:abstractNum>
  <w:abstractNum w:abstractNumId="17">
    <w:nsid w:val="5B55CF5E"/>
    <w:multiLevelType w:val="singleLevel"/>
    <w:tmpl w:val="5B55CF5E"/>
    <w:lvl w:ilvl="0" w:tentative="0">
      <w:start w:val="1"/>
      <w:numFmt w:val="bullet"/>
      <w:lvlText w:val=""/>
      <w:lvlJc w:val="left"/>
      <w:pPr>
        <w:tabs>
          <w:tab w:val="left" w:pos="420"/>
        </w:tabs>
        <w:ind w:left="420" w:hanging="420"/>
      </w:pPr>
      <w:rPr>
        <w:rFonts w:hint="default" w:ascii="Wingdings" w:hAnsi="Wingdings"/>
      </w:rPr>
    </w:lvl>
  </w:abstractNum>
  <w:abstractNum w:abstractNumId="18">
    <w:nsid w:val="610FDE20"/>
    <w:multiLevelType w:val="singleLevel"/>
    <w:tmpl w:val="610FDE20"/>
    <w:lvl w:ilvl="0" w:tentative="0">
      <w:start w:val="1"/>
      <w:numFmt w:val="decimal"/>
      <w:lvlText w:val="%1."/>
      <w:lvlJc w:val="left"/>
      <w:pPr>
        <w:tabs>
          <w:tab w:val="left" w:pos="312"/>
        </w:tabs>
      </w:pPr>
    </w:lvl>
  </w:abstractNum>
  <w:abstractNum w:abstractNumId="19">
    <w:nsid w:val="6DB0D069"/>
    <w:multiLevelType w:val="singleLevel"/>
    <w:tmpl w:val="6DB0D069"/>
    <w:lvl w:ilvl="0" w:tentative="0">
      <w:start w:val="1"/>
      <w:numFmt w:val="decimal"/>
      <w:suff w:val="nothing"/>
      <w:lvlText w:val="%1、"/>
      <w:lvlJc w:val="left"/>
    </w:lvl>
  </w:abstractNum>
  <w:abstractNum w:abstractNumId="20">
    <w:nsid w:val="70A4146A"/>
    <w:multiLevelType w:val="multilevel"/>
    <w:tmpl w:val="70A414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E156CC3"/>
    <w:multiLevelType w:val="singleLevel"/>
    <w:tmpl w:val="7E156CC3"/>
    <w:lvl w:ilvl="0" w:tentative="0">
      <w:start w:val="1"/>
      <w:numFmt w:val="decimal"/>
      <w:lvlText w:val="%1."/>
      <w:lvlJc w:val="left"/>
      <w:pPr>
        <w:tabs>
          <w:tab w:val="left" w:pos="312"/>
        </w:tabs>
      </w:pPr>
    </w:lvl>
  </w:abstractNum>
  <w:num w:numId="1">
    <w:abstractNumId w:val="6"/>
  </w:num>
  <w:num w:numId="2">
    <w:abstractNumId w:val="11"/>
  </w:num>
  <w:num w:numId="3">
    <w:abstractNumId w:val="7"/>
  </w:num>
  <w:num w:numId="4">
    <w:abstractNumId w:val="5"/>
  </w:num>
  <w:num w:numId="5">
    <w:abstractNumId w:val="9"/>
  </w:num>
  <w:num w:numId="6">
    <w:abstractNumId w:val="8"/>
  </w:num>
  <w:num w:numId="7">
    <w:abstractNumId w:val="3"/>
  </w:num>
  <w:num w:numId="8">
    <w:abstractNumId w:val="1"/>
  </w:num>
  <w:num w:numId="9">
    <w:abstractNumId w:val="10"/>
  </w:num>
  <w:num w:numId="10">
    <w:abstractNumId w:val="12"/>
  </w:num>
  <w:num w:numId="11">
    <w:abstractNumId w:val="17"/>
  </w:num>
  <w:num w:numId="12">
    <w:abstractNumId w:val="15"/>
  </w:num>
  <w:num w:numId="13">
    <w:abstractNumId w:val="14"/>
  </w:num>
  <w:num w:numId="14">
    <w:abstractNumId w:val="16"/>
  </w:num>
  <w:num w:numId="15">
    <w:abstractNumId w:val="13"/>
  </w:num>
  <w:num w:numId="16">
    <w:abstractNumId w:val="20"/>
  </w:num>
  <w:num w:numId="17">
    <w:abstractNumId w:val="0"/>
  </w:num>
  <w:num w:numId="18">
    <w:abstractNumId w:val="21"/>
  </w:num>
  <w:num w:numId="19">
    <w:abstractNumId w:val="18"/>
  </w:num>
  <w:num w:numId="20">
    <w:abstractNumId w:val="4"/>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jkzMDEzODUwY2NjYWFkZjI3NzljYjY4NWNiYWQifQ=="/>
  </w:docVars>
  <w:rsids>
    <w:rsidRoot w:val="001E7895"/>
    <w:rsid w:val="001E7895"/>
    <w:rsid w:val="00C458C8"/>
    <w:rsid w:val="00E7438F"/>
    <w:rsid w:val="02BE6324"/>
    <w:rsid w:val="036F6F86"/>
    <w:rsid w:val="03706B6C"/>
    <w:rsid w:val="03CD45E9"/>
    <w:rsid w:val="05B9691F"/>
    <w:rsid w:val="0E645578"/>
    <w:rsid w:val="11E37F55"/>
    <w:rsid w:val="12433B36"/>
    <w:rsid w:val="20C27BBB"/>
    <w:rsid w:val="21D60785"/>
    <w:rsid w:val="24CD11E7"/>
    <w:rsid w:val="24D34B67"/>
    <w:rsid w:val="26892112"/>
    <w:rsid w:val="28C75271"/>
    <w:rsid w:val="2947747E"/>
    <w:rsid w:val="3547603F"/>
    <w:rsid w:val="38B27C8B"/>
    <w:rsid w:val="39751A0E"/>
    <w:rsid w:val="3A1148DD"/>
    <w:rsid w:val="3AC1443A"/>
    <w:rsid w:val="402831F2"/>
    <w:rsid w:val="42D55773"/>
    <w:rsid w:val="46FA3052"/>
    <w:rsid w:val="486F0E64"/>
    <w:rsid w:val="489C32A5"/>
    <w:rsid w:val="49D15412"/>
    <w:rsid w:val="51D072C5"/>
    <w:rsid w:val="531C2C18"/>
    <w:rsid w:val="56F36390"/>
    <w:rsid w:val="5DB22612"/>
    <w:rsid w:val="60EF47CD"/>
    <w:rsid w:val="65F742EE"/>
    <w:rsid w:val="67B221A7"/>
    <w:rsid w:val="6894532D"/>
    <w:rsid w:val="6AD4668C"/>
    <w:rsid w:val="71AF0C61"/>
    <w:rsid w:val="74F82D74"/>
    <w:rsid w:val="75376112"/>
    <w:rsid w:val="776C6CF8"/>
    <w:rsid w:val="7C5F222B"/>
    <w:rsid w:val="7E2E1AD2"/>
    <w:rsid w:val="7E961685"/>
    <w:rsid w:val="7EBF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tabs>
        <w:tab w:val="left" w:pos="1830"/>
      </w:tabs>
      <w:ind w:left="1830" w:hanging="360"/>
      <w:outlineLvl w:val="0"/>
    </w:pPr>
    <w:rPr>
      <w:rFonts w:ascii="Arial" w:hAnsi="Arial" w:eastAsia="黑体"/>
      <w:sz w:val="44"/>
      <w:szCs w:val="20"/>
      <w:lang w:bidi="he-IL"/>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5"/>
    <w:next w:val="6"/>
    <w:link w:val="67"/>
    <w:qFormat/>
    <w:uiPriority w:val="0"/>
    <w:pPr>
      <w:adjustRightInd w:val="0"/>
      <w:spacing w:line="416" w:lineRule="atLeast"/>
      <w:ind w:left="1275" w:hanging="425"/>
      <w:textAlignment w:val="baseline"/>
      <w:outlineLvl w:val="2"/>
    </w:pPr>
  </w:style>
  <w:style w:type="paragraph" w:styleId="8">
    <w:name w:val="heading 4"/>
    <w:basedOn w:val="1"/>
    <w:next w:val="1"/>
    <w:qFormat/>
    <w:uiPriority w:val="0"/>
    <w:pPr>
      <w:keepNext/>
      <w:keepLines/>
      <w:adjustRightInd w:val="0"/>
      <w:spacing w:before="280" w:after="290" w:line="376" w:lineRule="atLeast"/>
      <w:ind w:left="1700" w:hanging="425"/>
      <w:textAlignment w:val="baseline"/>
      <w:outlineLvl w:val="3"/>
    </w:pPr>
    <w:rPr>
      <w:rFonts w:ascii="Arial" w:hAnsi="Arial" w:eastAsia="黑体"/>
      <w:b/>
      <w:kern w:val="0"/>
      <w:sz w:val="28"/>
      <w:szCs w:val="20"/>
    </w:rPr>
  </w:style>
  <w:style w:type="paragraph" w:styleId="9">
    <w:name w:val="heading 5"/>
    <w:basedOn w:val="1"/>
    <w:next w:val="1"/>
    <w:qFormat/>
    <w:uiPriority w:val="0"/>
    <w:pPr>
      <w:keepNext/>
      <w:keepLines/>
      <w:adjustRightInd w:val="0"/>
      <w:spacing w:before="280" w:after="290" w:line="376" w:lineRule="atLeast"/>
      <w:ind w:left="2125" w:hanging="425"/>
      <w:textAlignment w:val="baseline"/>
      <w:outlineLvl w:val="4"/>
    </w:pPr>
    <w:rPr>
      <w:b/>
      <w:kern w:val="0"/>
      <w:sz w:val="28"/>
      <w:szCs w:val="20"/>
    </w:rPr>
  </w:style>
  <w:style w:type="paragraph" w:styleId="10">
    <w:name w:val="heading 6"/>
    <w:basedOn w:val="1"/>
    <w:next w:val="1"/>
    <w:qFormat/>
    <w:uiPriority w:val="0"/>
    <w:pPr>
      <w:keepNext/>
      <w:keepLines/>
      <w:adjustRightInd w:val="0"/>
      <w:spacing w:before="240" w:after="64" w:line="320" w:lineRule="atLeast"/>
      <w:ind w:left="2550" w:hanging="425"/>
      <w:textAlignment w:val="baseline"/>
      <w:outlineLvl w:val="5"/>
    </w:pPr>
    <w:rPr>
      <w:rFonts w:ascii="Arial" w:hAnsi="Arial" w:eastAsia="黑体"/>
      <w:b/>
      <w:kern w:val="0"/>
      <w:sz w:val="24"/>
      <w:szCs w:val="20"/>
    </w:rPr>
  </w:style>
  <w:style w:type="paragraph" w:styleId="11">
    <w:name w:val="heading 7"/>
    <w:basedOn w:val="1"/>
    <w:next w:val="1"/>
    <w:qFormat/>
    <w:uiPriority w:val="0"/>
    <w:pPr>
      <w:keepNext/>
      <w:keepLines/>
      <w:adjustRightInd w:val="0"/>
      <w:spacing w:before="240" w:after="64" w:line="320" w:lineRule="atLeast"/>
      <w:ind w:left="2975" w:hanging="425"/>
      <w:textAlignment w:val="baseline"/>
      <w:outlineLvl w:val="6"/>
    </w:pPr>
    <w:rPr>
      <w:b/>
      <w:kern w:val="0"/>
      <w:sz w:val="24"/>
      <w:szCs w:val="20"/>
    </w:rPr>
  </w:style>
  <w:style w:type="paragraph" w:styleId="12">
    <w:name w:val="heading 8"/>
    <w:basedOn w:val="1"/>
    <w:next w:val="1"/>
    <w:qFormat/>
    <w:uiPriority w:val="0"/>
    <w:pPr>
      <w:keepNext/>
      <w:keepLines/>
      <w:adjustRightInd w:val="0"/>
      <w:spacing w:before="240" w:after="64" w:line="320" w:lineRule="atLeast"/>
      <w:ind w:left="3400" w:hanging="425"/>
      <w:textAlignment w:val="baseline"/>
      <w:outlineLvl w:val="7"/>
    </w:pPr>
    <w:rPr>
      <w:rFonts w:ascii="Arial" w:hAnsi="Arial" w:eastAsia="黑体"/>
      <w:kern w:val="0"/>
      <w:sz w:val="24"/>
      <w:szCs w:val="20"/>
    </w:rPr>
  </w:style>
  <w:style w:type="paragraph" w:styleId="13">
    <w:name w:val="heading 9"/>
    <w:basedOn w:val="1"/>
    <w:next w:val="1"/>
    <w:qFormat/>
    <w:uiPriority w:val="0"/>
    <w:pPr>
      <w:keepNext/>
      <w:keepLines/>
      <w:adjustRightInd w:val="0"/>
      <w:spacing w:before="240" w:after="64" w:line="320" w:lineRule="atLeast"/>
      <w:ind w:left="3825" w:hanging="425"/>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itle"/>
    <w:basedOn w:val="1"/>
    <w:next w:val="1"/>
    <w:link w:val="49"/>
    <w:qFormat/>
    <w:uiPriority w:val="0"/>
    <w:pPr>
      <w:jc w:val="center"/>
    </w:pPr>
    <w:rPr>
      <w:sz w:val="30"/>
      <w:szCs w:val="30"/>
    </w:rPr>
  </w:style>
  <w:style w:type="paragraph" w:styleId="6">
    <w:name w:val="Normal Indent"/>
    <w:basedOn w:val="1"/>
    <w:qFormat/>
    <w:uiPriority w:val="0"/>
    <w:pPr>
      <w:widowControl/>
      <w:ind w:firstLine="420"/>
      <w:jc w:val="left"/>
    </w:pPr>
    <w:rPr>
      <w:kern w:val="0"/>
      <w:sz w:val="20"/>
      <w:szCs w:val="20"/>
    </w:rPr>
  </w:style>
  <w:style w:type="paragraph" w:styleId="14">
    <w:name w:val="Document Map"/>
    <w:basedOn w:val="1"/>
    <w:qFormat/>
    <w:uiPriority w:val="0"/>
    <w:pPr>
      <w:shd w:val="clear" w:color="auto" w:fill="000080"/>
    </w:pPr>
  </w:style>
  <w:style w:type="paragraph" w:styleId="15">
    <w:name w:val="annotation text"/>
    <w:basedOn w:val="1"/>
    <w:link w:val="71"/>
    <w:qFormat/>
    <w:uiPriority w:val="0"/>
    <w:pPr>
      <w:jc w:val="left"/>
    </w:pPr>
  </w:style>
  <w:style w:type="paragraph" w:styleId="16">
    <w:name w:val="index 6"/>
    <w:basedOn w:val="1"/>
    <w:next w:val="1"/>
    <w:qFormat/>
    <w:uiPriority w:val="0"/>
    <w:pPr>
      <w:ind w:left="1000" w:leftChars="1000"/>
    </w:pPr>
    <w:rPr>
      <w:szCs w:val="20"/>
    </w:rPr>
  </w:style>
  <w:style w:type="paragraph" w:styleId="17">
    <w:name w:val="Body Text 3"/>
    <w:basedOn w:val="1"/>
    <w:qFormat/>
    <w:uiPriority w:val="0"/>
    <w:rPr>
      <w:rFonts w:hint="eastAsia" w:ascii="仿宋_GB2312" w:hAnsi="宋体" w:eastAsia="仿宋_GB2312"/>
      <w:bCs/>
      <w:sz w:val="24"/>
      <w:szCs w:val="20"/>
    </w:rPr>
  </w:style>
  <w:style w:type="paragraph" w:styleId="18">
    <w:name w:val="Body Text Indent"/>
    <w:basedOn w:val="1"/>
    <w:link w:val="56"/>
    <w:qFormat/>
    <w:uiPriority w:val="0"/>
    <w:pPr>
      <w:ind w:left="69" w:leftChars="33" w:firstLine="466" w:firstLineChars="194"/>
    </w:pPr>
    <w:rPr>
      <w:rFonts w:ascii="Arial Narrow" w:hAnsi="Arial Narrow"/>
      <w:sz w:val="24"/>
    </w:rPr>
  </w:style>
  <w:style w:type="paragraph" w:styleId="19">
    <w:name w:val="List 2"/>
    <w:basedOn w:val="1"/>
    <w:qFormat/>
    <w:uiPriority w:val="0"/>
    <w:pPr>
      <w:ind w:left="100" w:leftChars="200" w:hanging="200" w:hangingChars="200"/>
    </w:pPr>
  </w:style>
  <w:style w:type="paragraph" w:styleId="20">
    <w:name w:val="index 4"/>
    <w:basedOn w:val="1"/>
    <w:next w:val="1"/>
    <w:qFormat/>
    <w:uiPriority w:val="0"/>
    <w:pPr>
      <w:ind w:left="600" w:leftChars="600"/>
    </w:pPr>
    <w:rPr>
      <w:rFonts w:ascii="Calibri" w:hAnsi="Calibri"/>
    </w:rPr>
  </w:style>
  <w:style w:type="paragraph" w:styleId="21">
    <w:name w:val="toc 3"/>
    <w:basedOn w:val="1"/>
    <w:next w:val="1"/>
    <w:qFormat/>
    <w:uiPriority w:val="39"/>
    <w:pPr>
      <w:ind w:left="840"/>
    </w:pPr>
  </w:style>
  <w:style w:type="paragraph" w:styleId="22">
    <w:name w:val="Plain Text"/>
    <w:basedOn w:val="1"/>
    <w:link w:val="54"/>
    <w:qFormat/>
    <w:uiPriority w:val="0"/>
    <w:rPr>
      <w:rFonts w:ascii="宋体" w:hAnsi="Courier New" w:cs="Courier New"/>
      <w:szCs w:val="21"/>
    </w:rPr>
  </w:style>
  <w:style w:type="paragraph" w:styleId="23">
    <w:name w:val="Date"/>
    <w:basedOn w:val="1"/>
    <w:next w:val="1"/>
    <w:link w:val="63"/>
    <w:qFormat/>
    <w:uiPriority w:val="0"/>
    <w:rPr>
      <w:rFonts w:ascii="仿宋_GB2312" w:eastAsia="仿宋_GB2312"/>
      <w:sz w:val="30"/>
      <w:lang w:bidi="he-IL"/>
    </w:rPr>
  </w:style>
  <w:style w:type="paragraph" w:styleId="24">
    <w:name w:val="Body Text Indent 2"/>
    <w:basedOn w:val="1"/>
    <w:qFormat/>
    <w:uiPriority w:val="0"/>
    <w:pPr>
      <w:spacing w:line="520" w:lineRule="exact"/>
      <w:ind w:firstLine="560" w:firstLineChars="200"/>
    </w:pPr>
    <w:rPr>
      <w:sz w:val="28"/>
      <w:szCs w:val="28"/>
    </w:rPr>
  </w:style>
  <w:style w:type="paragraph" w:styleId="25">
    <w:name w:val="Balloon Text"/>
    <w:basedOn w:val="1"/>
    <w:qFormat/>
    <w:uiPriority w:val="0"/>
    <w:rPr>
      <w:sz w:val="18"/>
      <w:szCs w:val="18"/>
    </w:rPr>
  </w:style>
  <w:style w:type="paragraph" w:styleId="26">
    <w:name w:val="footer"/>
    <w:basedOn w:val="1"/>
    <w:link w:val="68"/>
    <w:qFormat/>
    <w:uiPriority w:val="0"/>
    <w:pPr>
      <w:tabs>
        <w:tab w:val="center" w:pos="4153"/>
        <w:tab w:val="right" w:pos="8306"/>
      </w:tabs>
      <w:snapToGrid w:val="0"/>
      <w:jc w:val="left"/>
    </w:pPr>
    <w:rPr>
      <w:sz w:val="18"/>
    </w:rPr>
  </w:style>
  <w:style w:type="paragraph" w:styleId="27">
    <w:name w:val="envelope return"/>
    <w:basedOn w:val="1"/>
    <w:qFormat/>
    <w:uiPriority w:val="0"/>
    <w:pPr>
      <w:snapToGrid w:val="0"/>
    </w:pPr>
    <w:rPr>
      <w:rFonts w:ascii="Arial" w:hAnsi="Arial" w:cs="Arial"/>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2"/>
    <w:qFormat/>
    <w:uiPriority w:val="0"/>
    <w:pPr>
      <w:suppressAutoHyphens/>
    </w:pPr>
    <w:rPr>
      <w:kern w:val="1"/>
      <w:lang w:eastAsia="ar-SA"/>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ind w:left="420"/>
    </w:pPr>
  </w:style>
  <w:style w:type="paragraph" w:styleId="33">
    <w:name w:val="Body Text 2"/>
    <w:basedOn w:val="1"/>
    <w:qFormat/>
    <w:uiPriority w:val="0"/>
    <w:rPr>
      <w:rFonts w:ascii="楷体_GB2312" w:hAnsi="Arial" w:eastAsia="楷体_GB2312"/>
      <w:color w:val="000000"/>
      <w:sz w:val="28"/>
      <w:szCs w:val="20"/>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5"/>
    <w:next w:val="15"/>
    <w:qFormat/>
    <w:uiPriority w:val="0"/>
    <w:rPr>
      <w:b/>
      <w:bCs/>
    </w:rPr>
  </w:style>
  <w:style w:type="paragraph" w:styleId="37">
    <w:name w:val="Body Text First Indent"/>
    <w:basedOn w:val="2"/>
    <w:qFormat/>
    <w:uiPriority w:val="0"/>
    <w:pPr>
      <w:ind w:firstLine="420"/>
    </w:pPr>
    <w:rPr>
      <w:rFonts w:ascii="Plotter" w:hAnsi="Plotter"/>
      <w:szCs w:val="20"/>
    </w:rPr>
  </w:style>
  <w:style w:type="paragraph" w:styleId="38">
    <w:name w:val="Body Text First Indent 2"/>
    <w:basedOn w:val="18"/>
    <w:qFormat/>
    <w:uiPriority w:val="99"/>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basedOn w:val="41"/>
    <w:qFormat/>
    <w:uiPriority w:val="0"/>
    <w:rPr>
      <w:i/>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customStyle="1" w:styleId="48">
    <w:name w:val="apple-style-span"/>
    <w:basedOn w:val="41"/>
    <w:qFormat/>
    <w:uiPriority w:val="0"/>
  </w:style>
  <w:style w:type="character" w:customStyle="1" w:styleId="49">
    <w:name w:val="标题 字符"/>
    <w:basedOn w:val="41"/>
    <w:link w:val="4"/>
    <w:qFormat/>
    <w:uiPriority w:val="0"/>
    <w:rPr>
      <w:kern w:val="2"/>
      <w:sz w:val="30"/>
      <w:szCs w:val="30"/>
    </w:rPr>
  </w:style>
  <w:style w:type="character" w:customStyle="1" w:styleId="50">
    <w:name w:val="ca-72"/>
    <w:basedOn w:val="41"/>
    <w:qFormat/>
    <w:uiPriority w:val="0"/>
  </w:style>
  <w:style w:type="character" w:customStyle="1" w:styleId="51">
    <w:name w:val="ca-42"/>
    <w:basedOn w:val="41"/>
    <w:qFormat/>
    <w:uiPriority w:val="0"/>
  </w:style>
  <w:style w:type="character" w:customStyle="1" w:styleId="52">
    <w:name w:val="aaaa"/>
    <w:basedOn w:val="41"/>
    <w:qFormat/>
    <w:uiPriority w:val="0"/>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纯文本 字符"/>
    <w:link w:val="22"/>
    <w:qFormat/>
    <w:uiPriority w:val="0"/>
    <w:rPr>
      <w:rFonts w:ascii="宋体" w:hAnsi="Courier New" w:eastAsia="宋体" w:cs="Courier New"/>
      <w:kern w:val="2"/>
      <w:sz w:val="21"/>
      <w:szCs w:val="21"/>
      <w:lang w:val="en-US" w:eastAsia="zh-CN" w:bidi="ar-SA"/>
    </w:rPr>
  </w:style>
  <w:style w:type="character" w:customStyle="1" w:styleId="55">
    <w:name w:val="CharAttribute6"/>
    <w:qFormat/>
    <w:uiPriority w:val="0"/>
    <w:rPr>
      <w:rFonts w:hint="eastAsia" w:ascii="宋体" w:hAnsi="宋体" w:eastAsia="宋体"/>
      <w:sz w:val="21"/>
    </w:rPr>
  </w:style>
  <w:style w:type="character" w:customStyle="1" w:styleId="56">
    <w:name w:val="正文文本缩进 字符"/>
    <w:basedOn w:val="41"/>
    <w:link w:val="18"/>
    <w:qFormat/>
    <w:uiPriority w:val="0"/>
    <w:rPr>
      <w:rFonts w:ascii="Arial Narrow" w:hAnsi="Arial Narrow"/>
      <w:sz w:val="24"/>
    </w:rPr>
  </w:style>
  <w:style w:type="character" w:customStyle="1" w:styleId="57">
    <w:name w:val="封面日期 Char Char"/>
    <w:qFormat/>
    <w:uiPriority w:val="0"/>
    <w:rPr>
      <w:rFonts w:ascii="Arial" w:hAnsi="Arial" w:eastAsia="楷体_GB2312"/>
      <w:kern w:val="2"/>
      <w:sz w:val="28"/>
      <w:lang w:val="en-US" w:eastAsia="zh-CN" w:bidi="ar-SA"/>
    </w:rPr>
  </w:style>
  <w:style w:type="character" w:customStyle="1" w:styleId="58">
    <w:name w:val="Char Char10"/>
    <w:qFormat/>
    <w:uiPriority w:val="0"/>
    <w:rPr>
      <w:rFonts w:eastAsia="宋体"/>
      <w:kern w:val="2"/>
      <w:sz w:val="18"/>
      <w:lang w:val="en-US" w:eastAsia="zh-CN" w:bidi="ar-SA"/>
    </w:rPr>
  </w:style>
  <w:style w:type="character" w:customStyle="1" w:styleId="59">
    <w:name w:val="red1"/>
    <w:basedOn w:val="41"/>
    <w:qFormat/>
    <w:uiPriority w:val="0"/>
    <w:rPr>
      <w:color w:val="FF0000"/>
    </w:rPr>
  </w:style>
  <w:style w:type="character" w:customStyle="1" w:styleId="60">
    <w:name w:val="apple-converted-space"/>
    <w:qFormat/>
    <w:uiPriority w:val="0"/>
  </w:style>
  <w:style w:type="character" w:customStyle="1" w:styleId="61">
    <w:name w:val="dy_biao_content1"/>
    <w:basedOn w:val="41"/>
    <w:qFormat/>
    <w:uiPriority w:val="0"/>
    <w:rPr>
      <w:rFonts w:hint="eastAsia" w:ascii="宋体" w:hAnsi="宋体" w:eastAsia="宋体"/>
      <w:sz w:val="16"/>
      <w:szCs w:val="16"/>
    </w:rPr>
  </w:style>
  <w:style w:type="character" w:customStyle="1" w:styleId="62">
    <w:name w:val="ca-62"/>
    <w:basedOn w:val="41"/>
    <w:qFormat/>
    <w:uiPriority w:val="0"/>
  </w:style>
  <w:style w:type="character" w:customStyle="1" w:styleId="63">
    <w:name w:val="日期 字符"/>
    <w:basedOn w:val="41"/>
    <w:link w:val="23"/>
    <w:qFormat/>
    <w:uiPriority w:val="0"/>
    <w:rPr>
      <w:rFonts w:ascii="仿宋_GB2312" w:eastAsia="仿宋_GB2312"/>
      <w:kern w:val="2"/>
      <w:sz w:val="30"/>
      <w:lang w:val="en-US" w:eastAsia="zh-CN" w:bidi="he-IL"/>
    </w:rPr>
  </w:style>
  <w:style w:type="character" w:customStyle="1" w:styleId="64">
    <w:name w:val="def"/>
    <w:basedOn w:val="41"/>
    <w:qFormat/>
    <w:uiPriority w:val="0"/>
  </w:style>
  <w:style w:type="character" w:customStyle="1" w:styleId="65">
    <w:name w:val="bold1"/>
    <w:qFormat/>
    <w:uiPriority w:val="0"/>
    <w:rPr>
      <w:b/>
      <w:bCs/>
    </w:rPr>
  </w:style>
  <w:style w:type="character" w:customStyle="1" w:styleId="66">
    <w:name w:val="dash6bb5__char1"/>
    <w:qFormat/>
    <w:uiPriority w:val="0"/>
    <w:rPr>
      <w:rFonts w:ascii="宋体" w:eastAsia="宋体"/>
      <w:sz w:val="20"/>
      <w:szCs w:val="20"/>
    </w:rPr>
  </w:style>
  <w:style w:type="character" w:customStyle="1" w:styleId="67">
    <w:name w:val="标题 3 字符"/>
    <w:basedOn w:val="41"/>
    <w:link w:val="7"/>
    <w:qFormat/>
    <w:uiPriority w:val="0"/>
    <w:rPr>
      <w:rFonts w:eastAsia="宋体"/>
      <w:b/>
      <w:kern w:val="2"/>
      <w:sz w:val="32"/>
      <w:szCs w:val="24"/>
      <w:lang w:val="en-US" w:eastAsia="zh-CN" w:bidi="ar-SA"/>
    </w:rPr>
  </w:style>
  <w:style w:type="character" w:customStyle="1" w:styleId="68">
    <w:name w:val="页脚 字符"/>
    <w:basedOn w:val="41"/>
    <w:link w:val="26"/>
    <w:qFormat/>
    <w:uiPriority w:val="0"/>
    <w:rPr>
      <w:kern w:val="2"/>
      <w:sz w:val="18"/>
    </w:rPr>
  </w:style>
  <w:style w:type="character" w:customStyle="1" w:styleId="69">
    <w:name w:val="Plain Text Char"/>
    <w:basedOn w:val="41"/>
    <w:qFormat/>
    <w:uiPriority w:val="0"/>
    <w:rPr>
      <w:rFonts w:ascii="宋体" w:hAnsi="Courier New" w:eastAsia="宋体"/>
      <w:kern w:val="2"/>
      <w:sz w:val="21"/>
      <w:szCs w:val="21"/>
      <w:lang w:val="en-US" w:eastAsia="zh-CN" w:bidi="ar-SA"/>
    </w:rPr>
  </w:style>
  <w:style w:type="character" w:customStyle="1" w:styleId="70">
    <w:name w:val="style81"/>
    <w:qFormat/>
    <w:uiPriority w:val="0"/>
    <w:rPr>
      <w:color w:val="000000"/>
      <w:sz w:val="18"/>
      <w:szCs w:val="18"/>
    </w:rPr>
  </w:style>
  <w:style w:type="character" w:customStyle="1" w:styleId="71">
    <w:name w:val="批注文字 字符"/>
    <w:basedOn w:val="41"/>
    <w:link w:val="15"/>
    <w:qFormat/>
    <w:uiPriority w:val="0"/>
    <w:rPr>
      <w:kern w:val="2"/>
      <w:sz w:val="21"/>
      <w:szCs w:val="24"/>
    </w:rPr>
  </w:style>
  <w:style w:type="character" w:customStyle="1" w:styleId="72">
    <w:name w:val="v151"/>
    <w:qFormat/>
    <w:uiPriority w:val="0"/>
    <w:rPr>
      <w:sz w:val="18"/>
    </w:rPr>
  </w:style>
  <w:style w:type="paragraph" w:customStyle="1" w:styleId="73">
    <w:name w:val="国内标题2"/>
    <w:basedOn w:val="5"/>
    <w:qFormat/>
    <w:uiPriority w:val="0"/>
  </w:style>
  <w:style w:type="paragraph" w:customStyle="1" w:styleId="74">
    <w:name w:val="Char1"/>
    <w:basedOn w:val="1"/>
    <w:qFormat/>
    <w:uiPriority w:val="0"/>
    <w:pPr>
      <w:adjustRightInd w:val="0"/>
      <w:spacing w:line="360" w:lineRule="auto"/>
    </w:pPr>
    <w:rPr>
      <w:kern w:val="0"/>
      <w:sz w:val="24"/>
      <w:szCs w:val="20"/>
    </w:rPr>
  </w:style>
  <w:style w:type="paragraph" w:customStyle="1" w:styleId="75">
    <w:name w:val="Char Char Char Char Char Char"/>
    <w:basedOn w:val="1"/>
    <w:qFormat/>
    <w:uiPriority w:val="0"/>
    <w:rPr>
      <w:szCs w:val="21"/>
    </w:rPr>
  </w:style>
  <w:style w:type="paragraph" w:customStyle="1" w:styleId="76">
    <w:name w:val="Char Char Char Char"/>
    <w:basedOn w:val="1"/>
    <w:qFormat/>
    <w:uiPriority w:val="0"/>
    <w:pPr>
      <w:widowControl/>
      <w:spacing w:after="160" w:line="240" w:lineRule="exact"/>
      <w:jc w:val="left"/>
    </w:pPr>
    <w:rPr>
      <w:szCs w:val="21"/>
    </w:rPr>
  </w:style>
  <w:style w:type="paragraph" w:customStyle="1" w:styleId="77">
    <w:name w:val="普通(网站)1"/>
    <w:basedOn w:val="1"/>
    <w:qFormat/>
    <w:uiPriority w:val="0"/>
    <w:pPr>
      <w:widowControl/>
      <w:jc w:val="left"/>
    </w:pPr>
    <w:rPr>
      <w:rFonts w:ascii="宋体" w:hAnsi="宋体" w:cs="宋体"/>
      <w:kern w:val="0"/>
      <w:sz w:val="24"/>
    </w:rPr>
  </w:style>
  <w:style w:type="paragraph" w:customStyle="1" w:styleId="78">
    <w:name w:val="_Style 8"/>
    <w:basedOn w:val="1"/>
    <w:qFormat/>
    <w:uiPriority w:val="0"/>
    <w:rPr>
      <w:szCs w:val="20"/>
    </w:rPr>
  </w:style>
  <w:style w:type="paragraph" w:customStyle="1" w:styleId="7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0">
    <w:name w:val="Char Char8"/>
    <w:basedOn w:val="1"/>
    <w:qFormat/>
    <w:uiPriority w:val="0"/>
  </w:style>
  <w:style w:type="paragraph" w:customStyle="1" w:styleId="81">
    <w:name w:val="Char"/>
    <w:basedOn w:val="1"/>
    <w:next w:val="1"/>
    <w:qFormat/>
    <w:uiPriority w:val="0"/>
    <w:pPr>
      <w:widowControl/>
      <w:spacing w:line="360" w:lineRule="auto"/>
      <w:jc w:val="left"/>
    </w:pPr>
    <w:rPr>
      <w:szCs w:val="20"/>
    </w:rPr>
  </w:style>
  <w:style w:type="paragraph" w:customStyle="1" w:styleId="82">
    <w:name w:val="Char Char Char Char Char Char Char"/>
    <w:basedOn w:val="1"/>
    <w:qFormat/>
    <w:uiPriority w:val="0"/>
    <w:rPr>
      <w:rFonts w:ascii="Tahoma" w:hAnsi="Tahoma"/>
      <w:sz w:val="24"/>
      <w:szCs w:val="20"/>
    </w:rPr>
  </w:style>
  <w:style w:type="paragraph" w:customStyle="1" w:styleId="83">
    <w:name w:val="font5"/>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84">
    <w:name w:val="国内"/>
    <w:basedOn w:val="3"/>
    <w:qFormat/>
    <w:uiPriority w:val="0"/>
    <w:pPr>
      <w:ind w:left="0" w:firstLine="0"/>
      <w:jc w:val="center"/>
    </w:pPr>
    <w:rPr>
      <w:sz w:val="52"/>
      <w:szCs w:val="52"/>
    </w:rPr>
  </w:style>
  <w:style w:type="paragraph" w:customStyle="1" w:styleId="85">
    <w:name w:val="font6"/>
    <w:basedOn w:val="1"/>
    <w:qFormat/>
    <w:uiPriority w:val="0"/>
    <w:pPr>
      <w:widowControl/>
      <w:spacing w:before="100" w:beforeAutospacing="1" w:after="100" w:afterAutospacing="1"/>
      <w:jc w:val="left"/>
    </w:pPr>
    <w:rPr>
      <w:rFonts w:hint="eastAsia" w:ascii="仿宋体" w:hAnsi="宋体" w:eastAsia="仿宋体"/>
      <w:kern w:val="0"/>
      <w:sz w:val="18"/>
      <w:szCs w:val="18"/>
    </w:rPr>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pa-4"/>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font7"/>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89">
    <w:name w:val="默认段落字体 Para Char Char Char Char"/>
    <w:basedOn w:val="1"/>
    <w:qFormat/>
    <w:uiPriority w:val="0"/>
  </w:style>
  <w:style w:type="paragraph" w:customStyle="1" w:styleId="90">
    <w:name w:val="xl48"/>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1"/>
    <w:basedOn w:val="6"/>
    <w:qFormat/>
    <w:uiPriority w:val="0"/>
    <w:pPr>
      <w:widowControl w:val="0"/>
      <w:spacing w:line="400" w:lineRule="atLeast"/>
      <w:ind w:left="198" w:firstLine="482"/>
      <w:jc w:val="both"/>
    </w:pPr>
    <w:rPr>
      <w:rFonts w:hint="eastAsia" w:ascii="宋体" w:hAnsi="宋体"/>
      <w:kern w:val="2"/>
      <w:sz w:val="24"/>
    </w:rPr>
  </w:style>
  <w:style w:type="paragraph" w:customStyle="1" w:styleId="92">
    <w:name w:val="ParaAttribute17"/>
    <w:qFormat/>
    <w:uiPriority w:val="0"/>
    <w:pPr>
      <w:widowControl w:val="0"/>
      <w:wordWrap w:val="0"/>
      <w:spacing w:line="211" w:lineRule="exact"/>
    </w:pPr>
    <w:rPr>
      <w:rFonts w:ascii="Calibri" w:hAnsi="Calibri" w:eastAsia="宋体" w:cs="Times New Roman"/>
      <w:sz w:val="21"/>
      <w:szCs w:val="22"/>
      <w:lang w:val="en-US" w:eastAsia="zh-CN" w:bidi="ar-SA"/>
    </w:rPr>
  </w:style>
  <w:style w:type="paragraph" w:customStyle="1" w:styleId="93">
    <w:name w:val="小标题"/>
    <w:basedOn w:val="6"/>
    <w:qFormat/>
    <w:uiPriority w:val="0"/>
    <w:pPr>
      <w:spacing w:before="50" w:after="50"/>
      <w:ind w:firstLine="0"/>
      <w:jc w:val="both"/>
    </w:pPr>
    <w:rPr>
      <w:b/>
      <w:sz w:val="24"/>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msolistparagraph"/>
    <w:basedOn w:val="1"/>
    <w:qFormat/>
    <w:uiPriority w:val="0"/>
    <w:pPr>
      <w:widowControl/>
      <w:spacing w:after="200" w:line="276" w:lineRule="auto"/>
      <w:ind w:left="720"/>
      <w:jc w:val="left"/>
    </w:pPr>
    <w:rPr>
      <w:rFonts w:ascii="Calibri" w:hAnsi="Calibri" w:cs="Calibri"/>
      <w:kern w:val="0"/>
      <w:sz w:val="22"/>
      <w:szCs w:val="22"/>
    </w:rPr>
  </w:style>
  <w:style w:type="paragraph" w:customStyle="1" w:styleId="96">
    <w:name w:val="xl33"/>
    <w:basedOn w:val="1"/>
    <w:qFormat/>
    <w:uiPriority w:val="0"/>
    <w:pPr>
      <w:widowControl/>
      <w:spacing w:before="100" w:beforeAutospacing="1" w:after="100" w:afterAutospacing="1"/>
      <w:jc w:val="right"/>
    </w:pPr>
    <w:rPr>
      <w:rFonts w:hint="eastAsia" w:ascii="宋体" w:hAnsi="宋体"/>
      <w:b/>
      <w:bCs/>
      <w:kern w:val="0"/>
      <w:sz w:val="24"/>
    </w:rPr>
  </w:style>
  <w:style w:type="paragraph" w:customStyle="1" w:styleId="97">
    <w:name w:val="默认段落字体 Para Char Char Char Char Char Char Char Char Char Char Char Char Char Char Char1 Char"/>
    <w:basedOn w:val="14"/>
    <w:qFormat/>
    <w:uiPriority w:val="0"/>
    <w:rPr>
      <w:rFonts w:ascii="Tahoma" w:hAnsi="Tahoma"/>
      <w:sz w:val="24"/>
    </w:rPr>
  </w:style>
  <w:style w:type="paragraph" w:customStyle="1" w:styleId="98">
    <w:name w:val="Char Char Char Char Char Char Char1"/>
    <w:basedOn w:val="1"/>
    <w:qFormat/>
    <w:uiPriority w:val="0"/>
    <w:pPr>
      <w:widowControl/>
      <w:spacing w:after="160" w:line="240" w:lineRule="exact"/>
      <w:jc w:val="left"/>
    </w:pPr>
    <w:rPr>
      <w:szCs w:val="20"/>
    </w:rPr>
  </w:style>
  <w:style w:type="paragraph" w:customStyle="1" w:styleId="99">
    <w:name w:val="xl51"/>
    <w:next w:val="33"/>
    <w:qFormat/>
    <w:uiPriority w:val="0"/>
    <w:pPr>
      <w:pBdr>
        <w:bottom w:val="single" w:color="auto" w:sz="4" w:space="0"/>
        <w:right w:val="single" w:color="auto" w:sz="4" w:space="0"/>
      </w:pBdr>
      <w:spacing w:before="100" w:beforeAutospacing="1" w:after="100" w:afterAutospacing="1"/>
      <w:jc w:val="both"/>
      <w:textAlignment w:val="center"/>
    </w:pPr>
    <w:rPr>
      <w:rFonts w:ascii="Arial" w:hAnsi="Arial" w:eastAsia="Arial Unicode MS" w:cs="Arial"/>
      <w:sz w:val="21"/>
      <w:szCs w:val="21"/>
      <w:lang w:val="en-US" w:eastAsia="zh-CN" w:bidi="ar-SA"/>
    </w:rPr>
  </w:style>
  <w:style w:type="paragraph" w:customStyle="1" w:styleId="100">
    <w:name w:val="xl2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01">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102">
    <w:name w:val="Char Char Char Char1"/>
    <w:basedOn w:val="1"/>
    <w:qFormat/>
    <w:uiPriority w:val="0"/>
    <w:pPr>
      <w:widowControl/>
      <w:spacing w:after="160" w:line="240" w:lineRule="exact"/>
      <w:jc w:val="left"/>
    </w:pPr>
    <w:rPr>
      <w:szCs w:val="21"/>
    </w:rPr>
  </w:style>
  <w:style w:type="paragraph" w:customStyle="1" w:styleId="103">
    <w:name w:val="标题1"/>
    <w:basedOn w:val="1"/>
    <w:next w:val="22"/>
    <w:qFormat/>
    <w:uiPriority w:val="0"/>
    <w:rPr>
      <w:rFonts w:ascii="宋体" w:hAnsi="Courier New"/>
      <w:szCs w:val="20"/>
    </w:rPr>
  </w:style>
  <w:style w:type="paragraph" w:customStyle="1" w:styleId="104">
    <w:name w:val="样式 宋体 五号 行距: 单倍行距"/>
    <w:basedOn w:val="1"/>
    <w:qFormat/>
    <w:uiPriority w:val="0"/>
    <w:pPr>
      <w:adjustRightInd w:val="0"/>
      <w:jc w:val="left"/>
    </w:pPr>
    <w:rPr>
      <w:rFonts w:ascii="宋体" w:hAnsi="宋体" w:cs="宋体"/>
      <w:kern w:val="0"/>
      <w:szCs w:val="20"/>
    </w:rPr>
  </w:style>
  <w:style w:type="paragraph" w:customStyle="1" w:styleId="105">
    <w:name w:val="List Paragraph1"/>
    <w:basedOn w:val="1"/>
    <w:qFormat/>
    <w:uiPriority w:val="0"/>
    <w:pPr>
      <w:ind w:firstLine="420" w:firstLineChars="200"/>
    </w:pPr>
    <w:rPr>
      <w:szCs w:val="20"/>
    </w:rPr>
  </w:style>
  <w:style w:type="paragraph" w:customStyle="1" w:styleId="10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Char Char"/>
    <w:basedOn w:val="1"/>
    <w:qFormat/>
    <w:uiPriority w:val="0"/>
    <w:rPr>
      <w:rFonts w:ascii="Tahoma" w:hAnsi="Tahoma"/>
      <w:sz w:val="24"/>
      <w:szCs w:val="20"/>
    </w:rPr>
  </w:style>
  <w:style w:type="paragraph" w:customStyle="1" w:styleId="109">
    <w:name w:val="Char Char Char1"/>
    <w:basedOn w:val="1"/>
    <w:qFormat/>
    <w:uiPriority w:val="0"/>
    <w:rPr>
      <w:rFonts w:ascii="Tahoma" w:hAnsi="Tahoma"/>
      <w:sz w:val="24"/>
      <w:szCs w:val="20"/>
    </w:rPr>
  </w:style>
  <w:style w:type="paragraph" w:customStyle="1" w:styleId="1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11">
    <w:name w:val="列出段落1"/>
    <w:basedOn w:val="1"/>
    <w:qFormat/>
    <w:uiPriority w:val="0"/>
    <w:pPr>
      <w:ind w:firstLine="200" w:firstLineChars="200"/>
    </w:pPr>
  </w:style>
  <w:style w:type="paragraph" w:customStyle="1" w:styleId="112">
    <w:name w:val="样式1"/>
    <w:basedOn w:val="1"/>
    <w:qFormat/>
    <w:uiPriority w:val="0"/>
  </w:style>
  <w:style w:type="paragraph" w:customStyle="1" w:styleId="113">
    <w:name w:val="列表接续 21"/>
    <w:qFormat/>
    <w:uiPriority w:val="0"/>
    <w:pPr>
      <w:framePr w:wrap="around" w:vAnchor="margin" w:hAnchor="text" w:y="1"/>
      <w:widowControl w:val="0"/>
      <w:spacing w:after="120" w:line="312" w:lineRule="atLeast"/>
      <w:ind w:left="840"/>
      <w:jc w:val="both"/>
    </w:pPr>
    <w:rPr>
      <w:rFonts w:hint="eastAsia" w:ascii="Arial Unicode MS" w:hAnsi="Arial Unicode MS" w:eastAsia="Times New Roman" w:cs="Arial Unicode MS"/>
      <w:color w:val="000000"/>
      <w:sz w:val="21"/>
      <w:szCs w:val="21"/>
      <w:lang w:val="en-US" w:eastAsia="zh-CN" w:bidi="ar-SA"/>
    </w:rPr>
  </w:style>
  <w:style w:type="paragraph" w:styleId="114">
    <w:name w:val="List Paragraph"/>
    <w:basedOn w:val="1"/>
    <w:qFormat/>
    <w:uiPriority w:val="0"/>
    <w:pPr>
      <w:ind w:firstLine="420" w:firstLineChars="200"/>
    </w:pPr>
  </w:style>
  <w:style w:type="paragraph" w:customStyle="1" w:styleId="115">
    <w:name w:val="正文1"/>
    <w:basedOn w:val="1"/>
    <w:qFormat/>
    <w:uiPriority w:val="0"/>
    <w:pPr>
      <w:spacing w:line="360" w:lineRule="auto"/>
    </w:pPr>
    <w:rPr>
      <w:sz w:val="24"/>
      <w:szCs w:val="20"/>
    </w:rPr>
  </w:style>
  <w:style w:type="paragraph" w:customStyle="1" w:styleId="116">
    <w:name w:val="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17">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Char Char Char Char Char Char1"/>
    <w:basedOn w:val="1"/>
    <w:qFormat/>
    <w:uiPriority w:val="0"/>
    <w:rPr>
      <w:szCs w:val="21"/>
    </w:rPr>
  </w:style>
  <w:style w:type="paragraph" w:customStyle="1" w:styleId="119">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20">
    <w:name w:val="纯文本1"/>
    <w:qFormat/>
    <w:uiPriority w:val="0"/>
    <w:pPr>
      <w:framePr w:wrap="around" w:vAnchor="margin" w:hAnchor="text" w:y="1"/>
      <w:widowControl w:val="0"/>
      <w:jc w:val="both"/>
    </w:pPr>
    <w:rPr>
      <w:rFonts w:ascii="宋体" w:hAnsi="宋体" w:eastAsia="宋体" w:cs="宋体"/>
      <w:color w:val="000000"/>
      <w:kern w:val="2"/>
      <w:sz w:val="21"/>
      <w:szCs w:val="21"/>
      <w:lang w:val="en-US" w:eastAsia="zh-CN" w:bidi="ar-SA"/>
    </w:rPr>
  </w:style>
  <w:style w:type="paragraph" w:customStyle="1" w:styleId="121">
    <w:name w:val="国内标题3"/>
    <w:basedOn w:val="7"/>
    <w:qFormat/>
    <w:uiPriority w:val="0"/>
    <w:pPr>
      <w:jc w:val="left"/>
    </w:pPr>
  </w:style>
  <w:style w:type="paragraph" w:customStyle="1" w:styleId="122">
    <w:name w:val="_Style 50"/>
    <w:basedOn w:val="14"/>
    <w:qFormat/>
    <w:uiPriority w:val="0"/>
    <w:rPr>
      <w:rFonts w:ascii="Tahoma" w:hAnsi="Tahoma"/>
      <w:sz w:val="24"/>
    </w:rPr>
  </w:style>
  <w:style w:type="paragraph" w:customStyle="1" w:styleId="123">
    <w:name w:val="Char Char Char Char Char Char Char1 Char"/>
    <w:basedOn w:val="1"/>
    <w:qFormat/>
    <w:uiPriority w:val="0"/>
    <w:rPr>
      <w:rFonts w:ascii="Tahoma" w:hAnsi="Tahoma" w:eastAsia="仿宋_GB2312"/>
      <w:sz w:val="24"/>
      <w:szCs w:val="32"/>
    </w:rPr>
  </w:style>
  <w:style w:type="paragraph" w:customStyle="1" w:styleId="124">
    <w:name w:val="正文2"/>
    <w:basedOn w:val="1"/>
    <w:qFormat/>
    <w:uiPriority w:val="0"/>
    <w:pPr>
      <w:widowControl/>
      <w:spacing w:after="200" w:line="300" w:lineRule="atLeast"/>
      <w:jc w:val="left"/>
    </w:pPr>
    <w:rPr>
      <w:rFonts w:ascii="Calibri" w:hAnsi="Calibri" w:cs="宋体"/>
      <w:kern w:val="0"/>
      <w:sz w:val="22"/>
      <w:szCs w:val="22"/>
    </w:rPr>
  </w:style>
  <w:style w:type="paragraph" w:customStyle="1" w:styleId="125">
    <w:name w:val="无间隔1"/>
    <w:qFormat/>
    <w:uiPriority w:val="0"/>
    <w:rPr>
      <w:rFonts w:ascii="Calibri" w:hAnsi="Calibri" w:eastAsia="宋体" w:cs="Times New Roman"/>
      <w:sz w:val="22"/>
      <w:szCs w:val="22"/>
      <w:lang w:val="en-US" w:eastAsia="zh-CN" w:bidi="ar-SA"/>
    </w:rPr>
  </w:style>
  <w:style w:type="paragraph" w:customStyle="1" w:styleId="126">
    <w:name w:val="brief1"/>
    <w:basedOn w:val="1"/>
    <w:qFormat/>
    <w:uiPriority w:val="0"/>
    <w:pPr>
      <w:widowControl/>
      <w:jc w:val="left"/>
    </w:pPr>
    <w:rPr>
      <w:rFonts w:ascii="宋体" w:hAnsi="宋体" w:cs="宋体"/>
      <w:color w:val="336699"/>
      <w:kern w:val="0"/>
      <w:sz w:val="24"/>
    </w:rPr>
  </w:style>
  <w:style w:type="paragraph" w:customStyle="1" w:styleId="1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正文（缩进）"/>
    <w:basedOn w:val="1"/>
    <w:qFormat/>
    <w:uiPriority w:val="0"/>
    <w:pPr>
      <w:widowControl/>
      <w:spacing w:before="156" w:after="156"/>
      <w:ind w:firstLine="480" w:firstLineChars="200"/>
      <w:jc w:val="left"/>
    </w:pPr>
    <w:rPr>
      <w:rFonts w:ascii="仿宋_GB2312" w:eastAsia="仿宋_GB2312"/>
      <w:kern w:val="0"/>
      <w:sz w:val="24"/>
    </w:rPr>
  </w:style>
  <w:style w:type="paragraph" w:customStyle="1" w:styleId="129">
    <w:name w:val="style8"/>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130">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31">
    <w:name w:val="xl23"/>
    <w:basedOn w:val="1"/>
    <w:qFormat/>
    <w:uiPriority w:val="0"/>
    <w:pPr>
      <w:widowControl/>
      <w:spacing w:before="100" w:beforeAutospacing="1" w:after="100" w:afterAutospacing="1"/>
      <w:jc w:val="center"/>
    </w:pPr>
    <w:rPr>
      <w:rFonts w:ascii="宋体" w:hAnsi="宋体"/>
      <w:b/>
      <w:bCs/>
      <w:kern w:val="0"/>
      <w:sz w:val="24"/>
    </w:rPr>
  </w:style>
  <w:style w:type="paragraph" w:customStyle="1" w:styleId="132">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Char1 Char Char Char Char Char Char"/>
    <w:basedOn w:val="1"/>
    <w:qFormat/>
    <w:uiPriority w:val="0"/>
  </w:style>
  <w:style w:type="paragraph" w:customStyle="1" w:styleId="134">
    <w:name w:val="国内标题"/>
    <w:basedOn w:val="7"/>
    <w:qFormat/>
    <w:uiPriority w:val="0"/>
  </w:style>
  <w:style w:type="paragraph" w:customStyle="1" w:styleId="135">
    <w:name w:val="国内正文"/>
    <w:basedOn w:val="1"/>
    <w:qFormat/>
    <w:uiPriority w:val="0"/>
    <w:rPr>
      <w:sz w:val="28"/>
      <w:szCs w:val="28"/>
    </w:rPr>
  </w:style>
  <w:style w:type="paragraph" w:customStyle="1" w:styleId="136">
    <w:name w:val="彩色列表 - 强调文字颜色 11"/>
    <w:basedOn w:val="1"/>
    <w:qFormat/>
    <w:uiPriority w:val="34"/>
    <w:pPr>
      <w:ind w:firstLine="420" w:firstLineChars="200"/>
    </w:pPr>
  </w:style>
  <w:style w:type="paragraph" w:customStyle="1" w:styleId="137">
    <w:name w:val="cucd-3"/>
    <w:next w:val="1"/>
    <w:qFormat/>
    <w:uiPriority w:val="0"/>
    <w:pPr>
      <w:numPr>
        <w:ilvl w:val="2"/>
        <w:numId w:val="1"/>
      </w:numPr>
      <w:spacing w:line="360" w:lineRule="auto"/>
      <w:contextualSpacing/>
      <w:jc w:val="both"/>
      <w:textAlignment w:val="top"/>
      <w:outlineLvl w:val="2"/>
    </w:pPr>
    <w:rPr>
      <w:rFonts w:ascii="宋体" w:hAnsi="宋体" w:eastAsia="宋体" w:cs="Times New Roman"/>
      <w:color w:val="FF0000"/>
      <w:kern w:val="2"/>
      <w:sz w:val="24"/>
      <w:szCs w:val="24"/>
      <w:lang w:val="en-US" w:eastAsia="zh-CN" w:bidi="ar-SA"/>
    </w:rPr>
  </w:style>
  <w:style w:type="paragraph" w:customStyle="1" w:styleId="138">
    <w:name w:val="Table Paragraph"/>
    <w:basedOn w:val="1"/>
    <w:qFormat/>
    <w:uiPriority w:val="1"/>
    <w:rPr>
      <w:rFonts w:ascii="宋体" w:hAnsi="宋体" w:cs="宋体"/>
      <w:lang w:val="zh-CN" w:bidi="zh-CN"/>
    </w:rPr>
  </w:style>
  <w:style w:type="paragraph" w:customStyle="1" w:styleId="139">
    <w:name w:val="标题3"/>
    <w:next w:val="8"/>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character" w:customStyle="1" w:styleId="140">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141">
    <w:name w:val="Heading2"/>
    <w:basedOn w:val="1"/>
    <w:next w:val="1"/>
    <w:qFormat/>
    <w:uiPriority w:val="0"/>
    <w:pPr>
      <w:keepNext/>
      <w:keepLines/>
      <w:numPr>
        <w:ilvl w:val="1"/>
        <w:numId w:val="2"/>
      </w:numPr>
      <w:spacing w:before="260" w:after="260" w:line="415" w:lineRule="auto"/>
      <w:jc w:val="both"/>
      <w:textAlignment w:val="baseline"/>
    </w:pPr>
    <w:rPr>
      <w:rFonts w:ascii="黑体" w:hAnsi="Cambria" w:eastAsia="黑体" w:cs="Times New Roman"/>
      <w:b/>
      <w:bCs/>
      <w:kern w:val="2"/>
      <w:sz w:val="32"/>
      <w:szCs w:val="28"/>
      <w:lang w:val="en-US" w:eastAsia="zh-CN" w:bidi="ar-SA"/>
    </w:rPr>
  </w:style>
  <w:style w:type="paragraph" w:customStyle="1" w:styleId="142">
    <w:name w:val="Heading1"/>
    <w:basedOn w:val="1"/>
    <w:qFormat/>
    <w:uiPriority w:val="0"/>
    <w:pPr>
      <w:keepNext/>
      <w:keepLines/>
      <w:numPr>
        <w:ilvl w:val="0"/>
        <w:numId w:val="2"/>
      </w:numPr>
      <w:spacing w:before="340" w:after="340" w:line="578" w:lineRule="auto"/>
      <w:jc w:val="center"/>
      <w:textAlignment w:val="baseline"/>
    </w:pPr>
    <w:rPr>
      <w:rFonts w:ascii="Calibri" w:hAnsi="Calibri"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microsoft.com/office/2007/relationships/diagramDrawing" Target="diagrams/drawing1.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E1F2834-2006-42F4-9F24-9849CF460772}" type="doc">
      <dgm:prSet loTypeId="urn:microsoft.com/office/officeart/2005/8/layout/cycle4#1" loCatId="cycle" qsTypeId="urn:microsoft.com/office/officeart/2005/8/quickstyle/simple1" qsCatId="simple" csTypeId="urn:microsoft.com/office/officeart/2005/8/colors/accent1_2" csCatId="accent1" phldr="1"/>
      <dgm:spPr/>
      <dgm:t>
        <a:bodyPr/>
        <a:p>
          <a:endParaRPr lang="zh-CN" altLang="en-US"/>
        </a:p>
      </dgm:t>
    </dgm:pt>
    <dgm:pt modelId="{E1B06641-75FC-4905-A22E-E9AB1A123CFE}">
      <dgm:prSet phldrT="[文本]"/>
      <dgm:spPr>
        <a:xfrm>
          <a:off x="909479" y="159077"/>
          <a:ext cx="1208427" cy="1208427"/>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p>
          <a:pPr algn="l"/>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造成操作员颈椎疲劳</a:t>
          </a:r>
          <a:endParaRPr lang="zh-CN" altLang="en-US" b="1" dirty="0">
            <a:solidFill>
              <a:sysClr val="window" lastClr="FFFFFF"/>
            </a:solidFill>
            <a:latin typeface="微软雅黑" panose="020B0503020204020204" pitchFamily="2" charset="-122"/>
            <a:ea typeface="微软雅黑" panose="020B0503020204020204" pitchFamily="2" charset="-122"/>
            <a:cs typeface="+mn-cs"/>
          </a:endParaRPr>
        </a:p>
      </dgm:t>
    </dgm:pt>
    <dgm:pt modelId="{F85D7961-E81A-4F4B-9D29-BEBB8BD30FA3}" cxnId="{5F32BB3F-5CC0-4C37-B4C5-181269E87791}" type="parTrans">
      <dgm:prSet/>
      <dgm:spPr/>
      <dgm:t>
        <a:bodyPr/>
        <a:p>
          <a:pPr algn="l"/>
          <a:endParaRPr lang="zh-CN" altLang="en-US"/>
        </a:p>
      </dgm:t>
    </dgm:pt>
    <dgm:pt modelId="{D4A29F8F-5143-4A39-A6DE-AC2D76375A50}" cxnId="{5F32BB3F-5CC0-4C37-B4C5-181269E87791}" type="sibTrans">
      <dgm:prSet/>
      <dgm:spPr/>
      <dgm:t>
        <a:bodyPr/>
        <a:p>
          <a:pPr algn="l"/>
          <a:endParaRPr lang="zh-CN" altLang="en-US"/>
        </a:p>
      </dgm:t>
    </dgm:pt>
    <dgm:pt modelId="{E97C4C9E-113C-43D2-96ED-228EAEC9EBFC}">
      <dgm:prSet phldrT="[文本]"/>
      <dgm:spPr>
        <a:xfrm>
          <a:off x="238835" y="0"/>
          <a:ext cx="1378667" cy="893064"/>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gm:spPr>
      <dgm:t>
        <a:bodyPr/>
        <a:p>
          <a:pPr algn="l"/>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控制台离屏幕太近</a:t>
          </a:r>
        </a:p>
      </dgm:t>
    </dgm:pt>
    <dgm:pt modelId="{DCD6037D-D420-4072-ABEF-0E0DC4877DAF}" cxnId="{726DBAE0-8477-4E81-B842-70C63F926690}" type="parTrans">
      <dgm:prSet/>
      <dgm:spPr/>
      <dgm:t>
        <a:bodyPr/>
        <a:p>
          <a:pPr algn="l"/>
          <a:endParaRPr lang="zh-CN" altLang="en-US"/>
        </a:p>
      </dgm:t>
    </dgm:pt>
    <dgm:pt modelId="{F1E99D46-BD8E-4B40-A94B-376377E938F5}" cxnId="{726DBAE0-8477-4E81-B842-70C63F926690}" type="sibTrans">
      <dgm:prSet/>
      <dgm:spPr/>
      <dgm:t>
        <a:bodyPr/>
        <a:p>
          <a:pPr algn="l"/>
          <a:endParaRPr lang="zh-CN" altLang="en-US"/>
        </a:p>
      </dgm:t>
    </dgm:pt>
    <dgm:pt modelId="{B2037CFA-C580-446D-9C5A-91694E772DBA}">
      <dgm:prSet phldrT="[文本]"/>
      <dgm:spPr>
        <a:xfrm rot="5400000">
          <a:off x="2112613" y="159077"/>
          <a:ext cx="1208427" cy="1208427"/>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p>
          <a:pPr algn="l"/>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浪费太多可用空间</a:t>
          </a:r>
        </a:p>
      </dgm:t>
    </dgm:pt>
    <dgm:pt modelId="{A68017E3-801C-4488-8362-F275F753614C}" cxnId="{BAEE5BA2-6350-4564-A649-CD8A071C7ED1}" type="parTrans">
      <dgm:prSet/>
      <dgm:spPr/>
      <dgm:t>
        <a:bodyPr/>
        <a:p>
          <a:pPr algn="l"/>
          <a:endParaRPr lang="zh-CN" altLang="en-US"/>
        </a:p>
      </dgm:t>
    </dgm:pt>
    <dgm:pt modelId="{34AA71A5-3F84-4A03-B93E-7E085A86ECDE}" cxnId="{BAEE5BA2-6350-4564-A649-CD8A071C7ED1}" type="sibTrans">
      <dgm:prSet/>
      <dgm:spPr/>
      <dgm:t>
        <a:bodyPr/>
        <a:p>
          <a:pPr algn="l"/>
          <a:endParaRPr lang="zh-CN" altLang="en-US"/>
        </a:p>
      </dgm:t>
    </dgm:pt>
    <dgm:pt modelId="{6C9F7216-A591-43A5-AEE6-8923065A56C5}">
      <dgm:prSet phldrT="[文本]"/>
      <dgm:spPr>
        <a:xfrm>
          <a:off x="2520073" y="0"/>
          <a:ext cx="1378667" cy="893064"/>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gm:spPr>
      <dgm:t>
        <a:bodyPr/>
        <a:p>
          <a:pPr algn="l"/>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控制台离屏幕太远</a:t>
          </a:r>
        </a:p>
      </dgm:t>
    </dgm:pt>
    <dgm:pt modelId="{697C1FFE-BE96-4F63-9260-0EDF1E4F340F}" cxnId="{1561588B-3B13-4941-870C-00F4FE8D96C3}" type="parTrans">
      <dgm:prSet/>
      <dgm:spPr/>
      <dgm:t>
        <a:bodyPr/>
        <a:p>
          <a:pPr algn="l"/>
          <a:endParaRPr lang="zh-CN" altLang="en-US"/>
        </a:p>
      </dgm:t>
    </dgm:pt>
    <dgm:pt modelId="{9E272CF3-3937-4833-A51B-DE5AF32F5713}" cxnId="{1561588B-3B13-4941-870C-00F4FE8D96C3}" type="sibTrans">
      <dgm:prSet/>
      <dgm:spPr/>
      <dgm:t>
        <a:bodyPr/>
        <a:p>
          <a:pPr algn="l"/>
          <a:endParaRPr lang="zh-CN" altLang="en-US"/>
        </a:p>
      </dgm:t>
    </dgm:pt>
    <dgm:pt modelId="{5DDA270D-6AE5-47BF-8AAB-6C9F4583BEE5}">
      <dgm:prSet phldrT="[文本]"/>
      <dgm:spPr>
        <a:xfrm rot="10800000">
          <a:off x="2112613" y="1362935"/>
          <a:ext cx="1208427" cy="1208427"/>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p>
          <a:pPr algn="l"/>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 最上层屏幕视角欠佳且颈椎疲劳</a:t>
          </a:r>
        </a:p>
      </dgm:t>
    </dgm:pt>
    <dgm:pt modelId="{6DC0D17A-6536-46C1-B002-02920F5F6812}" cxnId="{A86DEDC5-CE21-423F-A41D-3ABC5F0AB682}" type="parTrans">
      <dgm:prSet/>
      <dgm:spPr/>
      <dgm:t>
        <a:bodyPr/>
        <a:p>
          <a:pPr algn="l"/>
          <a:endParaRPr lang="zh-CN" altLang="en-US"/>
        </a:p>
      </dgm:t>
    </dgm:pt>
    <dgm:pt modelId="{3FD7C887-7574-4F05-AAD1-D566936CE37F}" cxnId="{A86DEDC5-CE21-423F-A41D-3ABC5F0AB682}" type="sibTrans">
      <dgm:prSet/>
      <dgm:spPr/>
      <dgm:t>
        <a:bodyPr/>
        <a:p>
          <a:pPr algn="l"/>
          <a:endParaRPr lang="zh-CN" altLang="en-US"/>
        </a:p>
      </dgm:t>
    </dgm:pt>
    <dgm:pt modelId="{827DB77E-F5BD-4CDE-9F7C-B5E69B5ED834}">
      <dgm:prSet phldrT="[文本]"/>
      <dgm:spPr>
        <a:xfrm>
          <a:off x="2520073" y="1897760"/>
          <a:ext cx="1378667" cy="893064"/>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gm:spPr>
      <dgm:t>
        <a:bodyPr/>
        <a:p>
          <a:pPr algn="l"/>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底座太高或控制台座椅过低</a:t>
          </a:r>
        </a:p>
      </dgm:t>
    </dgm:pt>
    <dgm:pt modelId="{EEE8CB9C-AEAF-4EC3-B363-317CE68A718C}" cxnId="{43DD476D-472A-4EF0-B8FC-D74761081580}" type="parTrans">
      <dgm:prSet/>
      <dgm:spPr/>
      <dgm:t>
        <a:bodyPr/>
        <a:p>
          <a:pPr algn="l"/>
          <a:endParaRPr lang="zh-CN" altLang="en-US"/>
        </a:p>
      </dgm:t>
    </dgm:pt>
    <dgm:pt modelId="{527CBD1D-38C7-4D7B-A87D-FB961E1E0C40}" cxnId="{43DD476D-472A-4EF0-B8FC-D74761081580}" type="sibTrans">
      <dgm:prSet/>
      <dgm:spPr/>
      <dgm:t>
        <a:bodyPr/>
        <a:p>
          <a:pPr algn="l"/>
          <a:endParaRPr lang="zh-CN" altLang="en-US"/>
        </a:p>
      </dgm:t>
    </dgm:pt>
    <dgm:pt modelId="{B0F7A6F5-D2A7-490B-ADF1-9D8FCE11DA12}">
      <dgm:prSet phldrT="[文本]"/>
      <dgm:spPr>
        <a:xfrm rot="16200000">
          <a:off x="909479" y="1362935"/>
          <a:ext cx="1208427" cy="1208427"/>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p>
          <a:pPr algn="l"/>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造成屏幕的遮挡</a:t>
          </a:r>
        </a:p>
      </dgm:t>
    </dgm:pt>
    <dgm:pt modelId="{A2911FAB-3666-4BD6-9444-5134287D6732}" cxnId="{BCDEDD68-761D-4FD9-BC2D-567D303900D5}" type="parTrans">
      <dgm:prSet/>
      <dgm:spPr/>
      <dgm:t>
        <a:bodyPr/>
        <a:p>
          <a:pPr algn="l"/>
          <a:endParaRPr lang="zh-CN" altLang="en-US"/>
        </a:p>
      </dgm:t>
    </dgm:pt>
    <dgm:pt modelId="{7F2C1FBD-D6CD-43C5-86C3-F8C2E6BFA5CD}" cxnId="{BCDEDD68-761D-4FD9-BC2D-567D303900D5}" type="sibTrans">
      <dgm:prSet/>
      <dgm:spPr/>
      <dgm:t>
        <a:bodyPr/>
        <a:p>
          <a:pPr algn="l"/>
          <a:endParaRPr lang="zh-CN" altLang="en-US"/>
        </a:p>
      </dgm:t>
    </dgm:pt>
    <dgm:pt modelId="{6CA192B7-8611-49BA-9B6A-9806949AE195}">
      <dgm:prSet phldrT="[文本]"/>
      <dgm:spPr>
        <a:xfrm>
          <a:off x="270668" y="1897760"/>
          <a:ext cx="1378667" cy="893064"/>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gm:spPr>
      <dgm:t>
        <a:bodyPr/>
        <a:p>
          <a:pPr algn="l"/>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底座太低或控制台座椅太高</a:t>
          </a:r>
        </a:p>
      </dgm:t>
    </dgm:pt>
    <dgm:pt modelId="{2258D7B1-CC2D-4035-975D-4C85BBDD76A9}" cxnId="{9D02E308-0C48-499D-9F9B-1BBE04B0588D}" type="parTrans">
      <dgm:prSet/>
      <dgm:spPr/>
      <dgm:t>
        <a:bodyPr/>
        <a:p>
          <a:pPr algn="l"/>
          <a:endParaRPr lang="zh-CN" altLang="en-US"/>
        </a:p>
      </dgm:t>
    </dgm:pt>
    <dgm:pt modelId="{4D64D1F0-5591-46AB-82B4-0FB9F3264505}" cxnId="{9D02E308-0C48-499D-9F9B-1BBE04B0588D}" type="sibTrans">
      <dgm:prSet/>
      <dgm:spPr/>
      <dgm:t>
        <a:bodyPr/>
        <a:p>
          <a:pPr algn="l"/>
          <a:endParaRPr lang="zh-CN" altLang="en-US"/>
        </a:p>
      </dgm:t>
    </dgm:pt>
    <dgm:pt modelId="{A70EFFC0-9C6F-4CB4-A075-0B45A71F25C8}" type="pres">
      <dgm:prSet presAssocID="{3E1F2834-2006-42F4-9F24-9849CF460772}" presName="cycleMatrixDiagram" presStyleCnt="0">
        <dgm:presLayoutVars>
          <dgm:chMax val="1"/>
          <dgm:dir/>
          <dgm:animLvl val="lvl"/>
          <dgm:resizeHandles val="exact"/>
        </dgm:presLayoutVars>
      </dgm:prSet>
      <dgm:spPr/>
      <dgm:t>
        <a:bodyPr/>
        <a:p>
          <a:endParaRPr lang="zh-CN" altLang="en-US"/>
        </a:p>
      </dgm:t>
    </dgm:pt>
    <dgm:pt modelId="{80BB166B-E570-4A47-B42D-C767F86859CB}" type="pres">
      <dgm:prSet presAssocID="{3E1F2834-2006-42F4-9F24-9849CF460772}" presName="children" presStyleCnt="0"/>
      <dgm:spPr/>
    </dgm:pt>
    <dgm:pt modelId="{23F45EA4-38C5-4DA0-A67E-6FFBA43A7191}" type="pres">
      <dgm:prSet presAssocID="{3E1F2834-2006-42F4-9F24-9849CF460772}" presName="child1group" presStyleCnt="0"/>
      <dgm:spPr/>
    </dgm:pt>
    <dgm:pt modelId="{E4785D21-34EC-4AB6-8DC4-C61270CEA268}" type="pres">
      <dgm:prSet presAssocID="{3E1F2834-2006-42F4-9F24-9849CF460772}" presName="child1" presStyleLbl="bgAcc1" presStyleIdx="0" presStyleCnt="4" custLinFactNeighborX="-2309"/>
      <dgm:spPr/>
      <dgm:t>
        <a:bodyPr/>
        <a:p>
          <a:endParaRPr lang="zh-CN" altLang="en-US"/>
        </a:p>
      </dgm:t>
    </dgm:pt>
    <dgm:pt modelId="{0917BB0E-18B6-48F2-A315-8B2B5D09F27A}" type="pres">
      <dgm:prSet presAssocID="{3E1F2834-2006-42F4-9F24-9849CF460772}" presName="child1Text" presStyleLbl="bgAcc1" presStyleIdx="0" presStyleCnt="4">
        <dgm:presLayoutVars>
          <dgm:bulletEnabled val="1"/>
        </dgm:presLayoutVars>
      </dgm:prSet>
      <dgm:spPr/>
      <dgm:t>
        <a:bodyPr/>
        <a:p>
          <a:endParaRPr lang="zh-CN" altLang="en-US"/>
        </a:p>
      </dgm:t>
    </dgm:pt>
    <dgm:pt modelId="{335D0CD9-EAD3-4D26-8EEE-0E2DAC03B751}" type="pres">
      <dgm:prSet presAssocID="{3E1F2834-2006-42F4-9F24-9849CF460772}" presName="child2group" presStyleCnt="0"/>
      <dgm:spPr/>
    </dgm:pt>
    <dgm:pt modelId="{AD7F1964-BD1E-4C0A-B4A5-80EFF9E43905}" type="pres">
      <dgm:prSet presAssocID="{3E1F2834-2006-42F4-9F24-9849CF460772}" presName="child2" presStyleLbl="bgAcc1" presStyleIdx="1" presStyleCnt="4"/>
      <dgm:spPr/>
      <dgm:t>
        <a:bodyPr/>
        <a:p>
          <a:endParaRPr lang="zh-CN" altLang="en-US"/>
        </a:p>
      </dgm:t>
    </dgm:pt>
    <dgm:pt modelId="{E43D22D6-14FA-4B05-8D8C-5B783C09BAF9}" type="pres">
      <dgm:prSet presAssocID="{3E1F2834-2006-42F4-9F24-9849CF460772}" presName="child2Text" presStyleLbl="bgAcc1" presStyleIdx="1" presStyleCnt="4">
        <dgm:presLayoutVars>
          <dgm:bulletEnabled val="1"/>
        </dgm:presLayoutVars>
      </dgm:prSet>
      <dgm:spPr/>
      <dgm:t>
        <a:bodyPr/>
        <a:p>
          <a:endParaRPr lang="zh-CN" altLang="en-US"/>
        </a:p>
      </dgm:t>
    </dgm:pt>
    <dgm:pt modelId="{760C8F37-FDEE-4F24-BB15-0F7985A89DD6}" type="pres">
      <dgm:prSet presAssocID="{3E1F2834-2006-42F4-9F24-9849CF460772}" presName="child3group" presStyleCnt="0"/>
      <dgm:spPr/>
    </dgm:pt>
    <dgm:pt modelId="{27C81C1C-B0E2-4BDB-8909-BB2571E8B5C7}" type="pres">
      <dgm:prSet presAssocID="{3E1F2834-2006-42F4-9F24-9849CF460772}" presName="child3" presStyleLbl="bgAcc1" presStyleIdx="2" presStyleCnt="4"/>
      <dgm:spPr/>
      <dgm:t>
        <a:bodyPr/>
        <a:p>
          <a:endParaRPr lang="zh-CN" altLang="en-US"/>
        </a:p>
      </dgm:t>
    </dgm:pt>
    <dgm:pt modelId="{31FD795A-BABB-49D6-B439-C9F12E53C9A8}" type="pres">
      <dgm:prSet presAssocID="{3E1F2834-2006-42F4-9F24-9849CF460772}" presName="child3Text" presStyleLbl="bgAcc1" presStyleIdx="2" presStyleCnt="4">
        <dgm:presLayoutVars>
          <dgm:bulletEnabled val="1"/>
        </dgm:presLayoutVars>
      </dgm:prSet>
      <dgm:spPr/>
      <dgm:t>
        <a:bodyPr/>
        <a:p>
          <a:endParaRPr lang="zh-CN" altLang="en-US"/>
        </a:p>
      </dgm:t>
    </dgm:pt>
    <dgm:pt modelId="{CCF5F9A1-CB60-48DE-835E-4DEC8035C683}" type="pres">
      <dgm:prSet presAssocID="{3E1F2834-2006-42F4-9F24-9849CF460772}" presName="child4group" presStyleCnt="0"/>
      <dgm:spPr/>
    </dgm:pt>
    <dgm:pt modelId="{0C461F0A-64D0-4E4E-8DB1-40D658F10125}" type="pres">
      <dgm:prSet presAssocID="{3E1F2834-2006-42F4-9F24-9849CF460772}" presName="child4" presStyleLbl="bgAcc1" presStyleIdx="3" presStyleCnt="4"/>
      <dgm:spPr/>
      <dgm:t>
        <a:bodyPr/>
        <a:p>
          <a:endParaRPr lang="zh-CN" altLang="en-US"/>
        </a:p>
      </dgm:t>
    </dgm:pt>
    <dgm:pt modelId="{C7967F82-E7E2-4F1C-816F-EB35B745985D}" type="pres">
      <dgm:prSet presAssocID="{3E1F2834-2006-42F4-9F24-9849CF460772}" presName="child4Text" presStyleLbl="bgAcc1" presStyleIdx="3" presStyleCnt="4">
        <dgm:presLayoutVars>
          <dgm:bulletEnabled val="1"/>
        </dgm:presLayoutVars>
      </dgm:prSet>
      <dgm:spPr/>
      <dgm:t>
        <a:bodyPr/>
        <a:p>
          <a:endParaRPr lang="zh-CN" altLang="en-US"/>
        </a:p>
      </dgm:t>
    </dgm:pt>
    <dgm:pt modelId="{D12FAA54-9A96-4365-8079-BA99C5E276AA}" type="pres">
      <dgm:prSet presAssocID="{3E1F2834-2006-42F4-9F24-9849CF460772}" presName="childPlaceholder" presStyleCnt="0"/>
      <dgm:spPr/>
    </dgm:pt>
    <dgm:pt modelId="{21830DA4-B86D-4446-9F35-945A4DE685C6}" type="pres">
      <dgm:prSet presAssocID="{3E1F2834-2006-42F4-9F24-9849CF460772}" presName="circle" presStyleCnt="0"/>
      <dgm:spPr/>
    </dgm:pt>
    <dgm:pt modelId="{2FB3433F-80DB-4D66-954C-E37B0D4F03BC}" type="pres">
      <dgm:prSet presAssocID="{3E1F2834-2006-42F4-9F24-9849CF460772}" presName="quadrant1" presStyleLbl="node1" presStyleIdx="0" presStyleCnt="4" custLinFactNeighborX="5057">
        <dgm:presLayoutVars>
          <dgm:chMax val="1"/>
          <dgm:bulletEnabled val="1"/>
        </dgm:presLayoutVars>
      </dgm:prSet>
      <dgm:spPr/>
      <dgm:t>
        <a:bodyPr/>
        <a:p>
          <a:endParaRPr lang="zh-CN" altLang="en-US"/>
        </a:p>
      </dgm:t>
    </dgm:pt>
    <dgm:pt modelId="{5ACE0F7B-1B2D-48CD-B149-AFCD439C152A}" type="pres">
      <dgm:prSet presAssocID="{3E1F2834-2006-42F4-9F24-9849CF460772}" presName="quadrant2" presStyleLbl="node1" presStyleIdx="1" presStyleCnt="4">
        <dgm:presLayoutVars>
          <dgm:chMax val="1"/>
          <dgm:bulletEnabled val="1"/>
        </dgm:presLayoutVars>
      </dgm:prSet>
      <dgm:spPr/>
      <dgm:t>
        <a:bodyPr/>
        <a:p>
          <a:endParaRPr lang="zh-CN" altLang="en-US"/>
        </a:p>
      </dgm:t>
    </dgm:pt>
    <dgm:pt modelId="{7724C507-F61A-4BD5-BDDB-F70208AA5657}" type="pres">
      <dgm:prSet presAssocID="{3E1F2834-2006-42F4-9F24-9849CF460772}" presName="quadrant3" presStyleLbl="node1" presStyleIdx="2" presStyleCnt="4" custLinFactNeighborY="-4997">
        <dgm:presLayoutVars>
          <dgm:chMax val="1"/>
          <dgm:bulletEnabled val="1"/>
        </dgm:presLayoutVars>
      </dgm:prSet>
      <dgm:spPr/>
      <dgm:t>
        <a:bodyPr/>
        <a:p>
          <a:endParaRPr lang="zh-CN" altLang="en-US"/>
        </a:p>
      </dgm:t>
    </dgm:pt>
    <dgm:pt modelId="{EEA1CE36-5B62-43A2-AFE6-D0A9843F5F8C}" type="pres">
      <dgm:prSet presAssocID="{3E1F2834-2006-42F4-9F24-9849CF460772}" presName="quadrant4" presStyleLbl="node1" presStyleIdx="3" presStyleCnt="4" custLinFactNeighborX="5057" custLinFactNeighborY="-4997">
        <dgm:presLayoutVars>
          <dgm:chMax val="1"/>
          <dgm:bulletEnabled val="1"/>
        </dgm:presLayoutVars>
      </dgm:prSet>
      <dgm:spPr/>
      <dgm:t>
        <a:bodyPr/>
        <a:p>
          <a:endParaRPr lang="zh-CN" altLang="en-US"/>
        </a:p>
      </dgm:t>
    </dgm:pt>
    <dgm:pt modelId="{A84B3BC3-ACE1-481B-90F9-FF895613AFA4}" type="pres">
      <dgm:prSet presAssocID="{3E1F2834-2006-42F4-9F24-9849CF460772}" presName="quadrantPlaceholder" presStyleCnt="0"/>
      <dgm:spPr/>
    </dgm:pt>
    <dgm:pt modelId="{6DC3A354-D88E-4C58-B8BD-A12274D6A424}" type="pres">
      <dgm:prSet presAssocID="{3E1F2834-2006-42F4-9F24-9849CF460772}" presName="center1" presStyleLbl="fgShp" presStyleIdx="0" presStyleCnt="2" custAng="5400000" custScaleX="89629" custLinFactNeighborX="15878" custLinFactNeighborY="5597"/>
      <dgm:spPr>
        <a:xfrm rot="5400000">
          <a:off x="1963982" y="1164544"/>
          <a:ext cx="373957" cy="362807"/>
        </a:xfrm>
        <a:prstGeom prst="circularArrow">
          <a:avLst/>
        </a:prstGeom>
        <a:solidFill>
          <a:sysClr val="window" lastClr="FFFFFF">
            <a:lumMod val="50000"/>
          </a:sysClr>
        </a:solidFill>
        <a:ln w="12700" cap="flat" cmpd="sng" algn="ctr">
          <a:solidFill>
            <a:sysClr val="window" lastClr="FFFFFF">
              <a:hueOff val="0"/>
              <a:satOff val="0"/>
              <a:lumOff val="0"/>
              <a:alphaOff val="0"/>
            </a:sysClr>
          </a:solidFill>
          <a:prstDash val="solid"/>
          <a:miter lim="800000"/>
        </a:ln>
        <a:effectLst/>
      </dgm:spPr>
      <dgm:t>
        <a:bodyPr/>
        <a:p>
          <a:endParaRPr lang="zh-CN" altLang="en-US"/>
        </a:p>
      </dgm:t>
    </dgm:pt>
    <dgm:pt modelId="{52301E01-D3E8-477B-B1AA-D7FC40D59F49}" type="pres">
      <dgm:prSet presAssocID="{3E1F2834-2006-42F4-9F24-9849CF460772}" presName="center2" presStyleLbl="fgShp" presStyleIdx="1" presStyleCnt="2" custAng="5551676" custScaleX="86697" custLinFactNeighborX="6191" custLinFactNeighborY="-30714"/>
      <dgm:spPr>
        <a:xfrm rot="16351676">
          <a:off x="1929673" y="1172343"/>
          <a:ext cx="361724" cy="362807"/>
        </a:xfrm>
        <a:prstGeom prst="circularArrow">
          <a:avLst/>
        </a:prstGeom>
        <a:solidFill>
          <a:sysClr val="window" lastClr="FFFFFF">
            <a:lumMod val="50000"/>
          </a:sysClr>
        </a:solidFill>
        <a:ln w="12700" cap="flat" cmpd="sng" algn="ctr">
          <a:solidFill>
            <a:sysClr val="window" lastClr="FFFFFF">
              <a:hueOff val="0"/>
              <a:satOff val="0"/>
              <a:lumOff val="0"/>
              <a:alphaOff val="0"/>
            </a:sysClr>
          </a:solidFill>
          <a:prstDash val="solid"/>
          <a:miter lim="800000"/>
        </a:ln>
        <a:effectLst/>
      </dgm:spPr>
      <dgm:t>
        <a:bodyPr/>
        <a:p>
          <a:endParaRPr lang="zh-CN" altLang="en-US"/>
        </a:p>
      </dgm:t>
    </dgm:pt>
  </dgm:ptLst>
  <dgm:cxnLst>
    <dgm:cxn modelId="{DC609D53-A4F2-49A9-AAA1-EB1E6EEB5EDA}" type="presOf" srcId="{E97C4C9E-113C-43D2-96ED-228EAEC9EBFC}" destId="{E4785D21-34EC-4AB6-8DC4-C61270CEA268}" srcOrd="0" destOrd="0" presId="urn:microsoft.com/office/officeart/2005/8/layout/cycle4#1"/>
    <dgm:cxn modelId="{95DC5B88-F604-4D78-A8CD-344FF879132C}" type="presOf" srcId="{5DDA270D-6AE5-47BF-8AAB-6C9F4583BEE5}" destId="{7724C507-F61A-4BD5-BDDB-F70208AA5657}" srcOrd="0" destOrd="0" presId="urn:microsoft.com/office/officeart/2005/8/layout/cycle4#1"/>
    <dgm:cxn modelId="{47E38BEB-C077-4ECB-A455-DC0A35A9F20B}" type="presOf" srcId="{6C9F7216-A591-43A5-AEE6-8923065A56C5}" destId="{E43D22D6-14FA-4B05-8D8C-5B783C09BAF9}" srcOrd="1" destOrd="0" presId="urn:microsoft.com/office/officeart/2005/8/layout/cycle4#1"/>
    <dgm:cxn modelId="{FD1C02D8-5A01-400A-9D56-5AC8A491940B}" type="presOf" srcId="{B2037CFA-C580-446D-9C5A-91694E772DBA}" destId="{5ACE0F7B-1B2D-48CD-B149-AFCD439C152A}" srcOrd="0" destOrd="0" presId="urn:microsoft.com/office/officeart/2005/8/layout/cycle4#1"/>
    <dgm:cxn modelId="{A86DEDC5-CE21-423F-A41D-3ABC5F0AB682}" srcId="{3E1F2834-2006-42F4-9F24-9849CF460772}" destId="{5DDA270D-6AE5-47BF-8AAB-6C9F4583BEE5}" srcOrd="2" destOrd="0" parTransId="{6DC0D17A-6536-46C1-B002-02920F5F6812}" sibTransId="{3FD7C887-7574-4F05-AAD1-D566936CE37F}"/>
    <dgm:cxn modelId="{66AD2059-38AE-45C1-AD77-5074CBB3C427}" type="presOf" srcId="{6C9F7216-A591-43A5-AEE6-8923065A56C5}" destId="{AD7F1964-BD1E-4C0A-B4A5-80EFF9E43905}" srcOrd="0" destOrd="0" presId="urn:microsoft.com/office/officeart/2005/8/layout/cycle4#1"/>
    <dgm:cxn modelId="{BCDEDD68-761D-4FD9-BC2D-567D303900D5}" srcId="{3E1F2834-2006-42F4-9F24-9849CF460772}" destId="{B0F7A6F5-D2A7-490B-ADF1-9D8FCE11DA12}" srcOrd="3" destOrd="0" parTransId="{A2911FAB-3666-4BD6-9444-5134287D6732}" sibTransId="{7F2C1FBD-D6CD-43C5-86C3-F8C2E6BFA5CD}"/>
    <dgm:cxn modelId="{E6D82161-540C-4D81-A809-B123E84A0891}" type="presOf" srcId="{6CA192B7-8611-49BA-9B6A-9806949AE195}" destId="{C7967F82-E7E2-4F1C-816F-EB35B745985D}" srcOrd="1" destOrd="0" presId="urn:microsoft.com/office/officeart/2005/8/layout/cycle4#1"/>
    <dgm:cxn modelId="{BAEE5BA2-6350-4564-A649-CD8A071C7ED1}" srcId="{3E1F2834-2006-42F4-9F24-9849CF460772}" destId="{B2037CFA-C580-446D-9C5A-91694E772DBA}" srcOrd="1" destOrd="0" parTransId="{A68017E3-801C-4488-8362-F275F753614C}" sibTransId="{34AA71A5-3F84-4A03-B93E-7E085A86ECDE}"/>
    <dgm:cxn modelId="{CDFE7CDC-DE50-439E-B2EF-6957DE1987A1}" type="presOf" srcId="{3E1F2834-2006-42F4-9F24-9849CF460772}" destId="{A70EFFC0-9C6F-4CB4-A075-0B45A71F25C8}" srcOrd="0" destOrd="0" presId="urn:microsoft.com/office/officeart/2005/8/layout/cycle4#1"/>
    <dgm:cxn modelId="{C2E3B343-026A-4C2B-92D1-922DB328CBB7}" type="presOf" srcId="{B0F7A6F5-D2A7-490B-ADF1-9D8FCE11DA12}" destId="{EEA1CE36-5B62-43A2-AFE6-D0A9843F5F8C}" srcOrd="0" destOrd="0" presId="urn:microsoft.com/office/officeart/2005/8/layout/cycle4#1"/>
    <dgm:cxn modelId="{33A6F065-B759-4B96-A033-DDF0344DB633}" type="presOf" srcId="{6CA192B7-8611-49BA-9B6A-9806949AE195}" destId="{0C461F0A-64D0-4E4E-8DB1-40D658F10125}" srcOrd="0" destOrd="0" presId="urn:microsoft.com/office/officeart/2005/8/layout/cycle4#1"/>
    <dgm:cxn modelId="{1561588B-3B13-4941-870C-00F4FE8D96C3}" srcId="{B2037CFA-C580-446D-9C5A-91694E772DBA}" destId="{6C9F7216-A591-43A5-AEE6-8923065A56C5}" srcOrd="0" destOrd="0" parTransId="{697C1FFE-BE96-4F63-9260-0EDF1E4F340F}" sibTransId="{9E272CF3-3937-4833-A51B-DE5AF32F5713}"/>
    <dgm:cxn modelId="{726DBAE0-8477-4E81-B842-70C63F926690}" srcId="{E1B06641-75FC-4905-A22E-E9AB1A123CFE}" destId="{E97C4C9E-113C-43D2-96ED-228EAEC9EBFC}" srcOrd="0" destOrd="0" parTransId="{DCD6037D-D420-4072-ABEF-0E0DC4877DAF}" sibTransId="{F1E99D46-BD8E-4B40-A94B-376377E938F5}"/>
    <dgm:cxn modelId="{43DD476D-472A-4EF0-B8FC-D74761081580}" srcId="{5DDA270D-6AE5-47BF-8AAB-6C9F4583BEE5}" destId="{827DB77E-F5BD-4CDE-9F7C-B5E69B5ED834}" srcOrd="0" destOrd="0" parTransId="{EEE8CB9C-AEAF-4EC3-B363-317CE68A718C}" sibTransId="{527CBD1D-38C7-4D7B-A87D-FB961E1E0C40}"/>
    <dgm:cxn modelId="{25CC67AA-84B9-41FE-BA17-21D1367EAC58}" type="presOf" srcId="{E97C4C9E-113C-43D2-96ED-228EAEC9EBFC}" destId="{0917BB0E-18B6-48F2-A315-8B2B5D09F27A}" srcOrd="1" destOrd="0" presId="urn:microsoft.com/office/officeart/2005/8/layout/cycle4#1"/>
    <dgm:cxn modelId="{C5AE2B5D-F8FE-4188-8749-449BECB9DF62}" type="presOf" srcId="{827DB77E-F5BD-4CDE-9F7C-B5E69B5ED834}" destId="{31FD795A-BABB-49D6-B439-C9F12E53C9A8}" srcOrd="1" destOrd="0" presId="urn:microsoft.com/office/officeart/2005/8/layout/cycle4#1"/>
    <dgm:cxn modelId="{0BD4F67B-D3E1-479E-953A-F66E1B00C42A}" type="presOf" srcId="{E1B06641-75FC-4905-A22E-E9AB1A123CFE}" destId="{2FB3433F-80DB-4D66-954C-E37B0D4F03BC}" srcOrd="0" destOrd="0" presId="urn:microsoft.com/office/officeart/2005/8/layout/cycle4#1"/>
    <dgm:cxn modelId="{4E93FAA7-2F81-44E9-A228-BBAD2ACF9101}" type="presOf" srcId="{827DB77E-F5BD-4CDE-9F7C-B5E69B5ED834}" destId="{27C81C1C-B0E2-4BDB-8909-BB2571E8B5C7}" srcOrd="0" destOrd="0" presId="urn:microsoft.com/office/officeart/2005/8/layout/cycle4#1"/>
    <dgm:cxn modelId="{5F32BB3F-5CC0-4C37-B4C5-181269E87791}" srcId="{3E1F2834-2006-42F4-9F24-9849CF460772}" destId="{E1B06641-75FC-4905-A22E-E9AB1A123CFE}" srcOrd="0" destOrd="0" parTransId="{F85D7961-E81A-4F4B-9D29-BEBB8BD30FA3}" sibTransId="{D4A29F8F-5143-4A39-A6DE-AC2D76375A50}"/>
    <dgm:cxn modelId="{9D02E308-0C48-499D-9F9B-1BBE04B0588D}" srcId="{B0F7A6F5-D2A7-490B-ADF1-9D8FCE11DA12}" destId="{6CA192B7-8611-49BA-9B6A-9806949AE195}" srcOrd="0" destOrd="0" parTransId="{2258D7B1-CC2D-4035-975D-4C85BBDD76A9}" sibTransId="{4D64D1F0-5591-46AB-82B4-0FB9F3264505}"/>
    <dgm:cxn modelId="{689A5EBC-A863-4926-92EA-1D1BE84350C4}" type="presParOf" srcId="{A70EFFC0-9C6F-4CB4-A075-0B45A71F25C8}" destId="{80BB166B-E570-4A47-B42D-C767F86859CB}" srcOrd="0" destOrd="0" presId="urn:microsoft.com/office/officeart/2005/8/layout/cycle4#1"/>
    <dgm:cxn modelId="{A1A5ED97-F797-45A3-B1BC-D419EB7049AF}" type="presParOf" srcId="{80BB166B-E570-4A47-B42D-C767F86859CB}" destId="{23F45EA4-38C5-4DA0-A67E-6FFBA43A7191}" srcOrd="0" destOrd="0" presId="urn:microsoft.com/office/officeart/2005/8/layout/cycle4#1"/>
    <dgm:cxn modelId="{C40CB804-D1BD-4098-8EB3-9637AF50B58B}" type="presParOf" srcId="{23F45EA4-38C5-4DA0-A67E-6FFBA43A7191}" destId="{E4785D21-34EC-4AB6-8DC4-C61270CEA268}" srcOrd="0" destOrd="0" presId="urn:microsoft.com/office/officeart/2005/8/layout/cycle4#1"/>
    <dgm:cxn modelId="{DB74A277-2045-412D-AEB1-640257599F2D}" type="presParOf" srcId="{23F45EA4-38C5-4DA0-A67E-6FFBA43A7191}" destId="{0917BB0E-18B6-48F2-A315-8B2B5D09F27A}" srcOrd="1" destOrd="0" presId="urn:microsoft.com/office/officeart/2005/8/layout/cycle4#1"/>
    <dgm:cxn modelId="{B7A15212-4209-456D-ADF1-F043ED39EDF5}" type="presParOf" srcId="{80BB166B-E570-4A47-B42D-C767F86859CB}" destId="{335D0CD9-EAD3-4D26-8EEE-0E2DAC03B751}" srcOrd="1" destOrd="0" presId="urn:microsoft.com/office/officeart/2005/8/layout/cycle4#1"/>
    <dgm:cxn modelId="{69F2CD17-B9ED-4612-855E-1510A1F0C57D}" type="presParOf" srcId="{335D0CD9-EAD3-4D26-8EEE-0E2DAC03B751}" destId="{AD7F1964-BD1E-4C0A-B4A5-80EFF9E43905}" srcOrd="0" destOrd="0" presId="urn:microsoft.com/office/officeart/2005/8/layout/cycle4#1"/>
    <dgm:cxn modelId="{6E49F923-27F0-46FA-80AC-839C543494CF}" type="presParOf" srcId="{335D0CD9-EAD3-4D26-8EEE-0E2DAC03B751}" destId="{E43D22D6-14FA-4B05-8D8C-5B783C09BAF9}" srcOrd="1" destOrd="0" presId="urn:microsoft.com/office/officeart/2005/8/layout/cycle4#1"/>
    <dgm:cxn modelId="{C6593128-55DA-4E9A-B492-56E5773C0C80}" type="presParOf" srcId="{80BB166B-E570-4A47-B42D-C767F86859CB}" destId="{760C8F37-FDEE-4F24-BB15-0F7985A89DD6}" srcOrd="2" destOrd="0" presId="urn:microsoft.com/office/officeart/2005/8/layout/cycle4#1"/>
    <dgm:cxn modelId="{CA66BC53-0DCB-4324-A154-1EA6D1BC3ACA}" type="presParOf" srcId="{760C8F37-FDEE-4F24-BB15-0F7985A89DD6}" destId="{27C81C1C-B0E2-4BDB-8909-BB2571E8B5C7}" srcOrd="0" destOrd="0" presId="urn:microsoft.com/office/officeart/2005/8/layout/cycle4#1"/>
    <dgm:cxn modelId="{AC28B9DF-B3D5-4B49-A5A8-648D5DB929D7}" type="presParOf" srcId="{760C8F37-FDEE-4F24-BB15-0F7985A89DD6}" destId="{31FD795A-BABB-49D6-B439-C9F12E53C9A8}" srcOrd="1" destOrd="0" presId="urn:microsoft.com/office/officeart/2005/8/layout/cycle4#1"/>
    <dgm:cxn modelId="{100371FD-0000-4520-A12D-508B6E170CD9}" type="presParOf" srcId="{80BB166B-E570-4A47-B42D-C767F86859CB}" destId="{CCF5F9A1-CB60-48DE-835E-4DEC8035C683}" srcOrd="3" destOrd="0" presId="urn:microsoft.com/office/officeart/2005/8/layout/cycle4#1"/>
    <dgm:cxn modelId="{9DD55A03-81ED-440E-8529-9F70ADC83E9C}" type="presParOf" srcId="{CCF5F9A1-CB60-48DE-835E-4DEC8035C683}" destId="{0C461F0A-64D0-4E4E-8DB1-40D658F10125}" srcOrd="0" destOrd="0" presId="urn:microsoft.com/office/officeart/2005/8/layout/cycle4#1"/>
    <dgm:cxn modelId="{BEF48D9E-D6D2-46E6-A6FB-D94E42B8CF1C}" type="presParOf" srcId="{CCF5F9A1-CB60-48DE-835E-4DEC8035C683}" destId="{C7967F82-E7E2-4F1C-816F-EB35B745985D}" srcOrd="1" destOrd="0" presId="urn:microsoft.com/office/officeart/2005/8/layout/cycle4#1"/>
    <dgm:cxn modelId="{D443B7F4-F3B5-42FC-A75A-65A77BD8AE6F}" type="presParOf" srcId="{80BB166B-E570-4A47-B42D-C767F86859CB}" destId="{D12FAA54-9A96-4365-8079-BA99C5E276AA}" srcOrd="4" destOrd="0" presId="urn:microsoft.com/office/officeart/2005/8/layout/cycle4#1"/>
    <dgm:cxn modelId="{E2B38D37-7625-443F-8BA5-65BC26254935}" type="presParOf" srcId="{A70EFFC0-9C6F-4CB4-A075-0B45A71F25C8}" destId="{21830DA4-B86D-4446-9F35-945A4DE685C6}" srcOrd="1" destOrd="0" presId="urn:microsoft.com/office/officeart/2005/8/layout/cycle4#1"/>
    <dgm:cxn modelId="{4F1062CA-D5DC-4DFE-B5E0-30FAE199F766}" type="presParOf" srcId="{21830DA4-B86D-4446-9F35-945A4DE685C6}" destId="{2FB3433F-80DB-4D66-954C-E37B0D4F03BC}" srcOrd="0" destOrd="0" presId="urn:microsoft.com/office/officeart/2005/8/layout/cycle4#1"/>
    <dgm:cxn modelId="{52CE55C8-9432-4EE6-8B74-4C91B2054C4B}" type="presParOf" srcId="{21830DA4-B86D-4446-9F35-945A4DE685C6}" destId="{5ACE0F7B-1B2D-48CD-B149-AFCD439C152A}" srcOrd="1" destOrd="0" presId="urn:microsoft.com/office/officeart/2005/8/layout/cycle4#1"/>
    <dgm:cxn modelId="{B095B728-F96D-4649-B202-F1C973CC19B4}" type="presParOf" srcId="{21830DA4-B86D-4446-9F35-945A4DE685C6}" destId="{7724C507-F61A-4BD5-BDDB-F70208AA5657}" srcOrd="2" destOrd="0" presId="urn:microsoft.com/office/officeart/2005/8/layout/cycle4#1"/>
    <dgm:cxn modelId="{AB67341D-1557-4E75-98A5-B103F334C9A1}" type="presParOf" srcId="{21830DA4-B86D-4446-9F35-945A4DE685C6}" destId="{EEA1CE36-5B62-43A2-AFE6-D0A9843F5F8C}" srcOrd="3" destOrd="0" presId="urn:microsoft.com/office/officeart/2005/8/layout/cycle4#1"/>
    <dgm:cxn modelId="{45191EC2-2450-4A74-9E02-03461367B85B}" type="presParOf" srcId="{21830DA4-B86D-4446-9F35-945A4DE685C6}" destId="{A84B3BC3-ACE1-481B-90F9-FF895613AFA4}" srcOrd="4" destOrd="0" presId="urn:microsoft.com/office/officeart/2005/8/layout/cycle4#1"/>
    <dgm:cxn modelId="{76E9BC39-9A9B-4D39-98B9-AE4977575065}" type="presParOf" srcId="{A70EFFC0-9C6F-4CB4-A075-0B45A71F25C8}" destId="{6DC3A354-D88E-4C58-B8BD-A12274D6A424}" srcOrd="2" destOrd="0" presId="urn:microsoft.com/office/officeart/2005/8/layout/cycle4#1"/>
    <dgm:cxn modelId="{16DBFD3E-A33B-4253-BC12-7A326910777A}" type="presParOf" srcId="{A70EFFC0-9C6F-4CB4-A075-0B45A71F25C8}" destId="{52301E01-D3E8-477B-B1AA-D7FC40D59F49}" srcOrd="3" destOrd="0" presId="urn:microsoft.com/office/officeart/2005/8/layout/cycle4#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615690" cy="2781300"/>
        <a:chOff x="0" y="0"/>
        <a:chExt cx="3615690" cy="2781300"/>
      </a:xfrm>
    </dsp:grpSpPr>
    <dsp:sp modelId="{E4785D21-34EC-4AB6-8DC4-C61270CEA268}">
      <dsp:nvSpPr>
        <dsp:cNvPr id="3" name="圆角矩形 2"/>
        <dsp:cNvSpPr/>
      </dsp:nvSpPr>
      <dsp:spPr bwMode="white">
        <a:xfrm>
          <a:off x="246405" y="-1391"/>
          <a:ext cx="1373962" cy="890906"/>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sp:spPr>
      <dsp:style>
        <a:lnRef idx="2">
          <a:srgbClr val="4F81BD"/>
        </a:lnRef>
        <a:fillRef idx="1">
          <a:srgbClr val="FFFFFF">
            <a:alpha val="90000"/>
          </a:srgbClr>
        </a:fillRef>
        <a:effectRef idx="0">
          <a:scrgbClr r="0" g="0" b="0"/>
        </a:effectRef>
        <a:fontRef idx="minor"/>
      </dsp:style>
      <dsp:txBody>
        <a:bodyPr lIns="53340" tIns="53340" rIns="53340" bIns="5334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gn="l">
            <a:lnSpc>
              <a:spcPct val="100000"/>
            </a:lnSpc>
            <a:spcBef>
              <a:spcPct val="0"/>
            </a:spcBef>
            <a:spcAft>
              <a:spcPct val="15000"/>
            </a:spcAft>
            <a:buChar char="•"/>
          </a:pPr>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控制台离屏幕太近</a:t>
          </a:r>
          <a:endParaRPr>
            <a:solidFill>
              <a:srgbClr val="000000"/>
            </a:solidFill>
          </a:endParaRPr>
        </a:p>
      </dsp:txBody>
      <dsp:txXfrm>
        <a:off x="246405" y="-1391"/>
        <a:ext cx="1373962" cy="890906"/>
      </dsp:txXfrm>
    </dsp:sp>
    <dsp:sp modelId="{AD7F1964-BD1E-4C0A-B4A5-80EFF9E43905}">
      <dsp:nvSpPr>
        <dsp:cNvPr id="4" name="圆角矩形 3"/>
        <dsp:cNvSpPr/>
      </dsp:nvSpPr>
      <dsp:spPr bwMode="white">
        <a:xfrm>
          <a:off x="2519858" y="-1391"/>
          <a:ext cx="1373962" cy="890906"/>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sp:spPr>
      <dsp:style>
        <a:lnRef idx="2">
          <a:srgbClr val="4F81BD"/>
        </a:lnRef>
        <a:fillRef idx="1">
          <a:srgbClr val="FFFFFF">
            <a:alpha val="90000"/>
          </a:srgbClr>
        </a:fillRef>
        <a:effectRef idx="0">
          <a:scrgbClr r="0" g="0" b="0"/>
        </a:effectRef>
        <a:fontRef idx="minor"/>
      </dsp:style>
      <dsp:txBody>
        <a:bodyPr lIns="53340" tIns="53340" rIns="53340" bIns="5334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gn="l">
            <a:lnSpc>
              <a:spcPct val="100000"/>
            </a:lnSpc>
            <a:spcBef>
              <a:spcPct val="0"/>
            </a:spcBef>
            <a:spcAft>
              <a:spcPct val="15000"/>
            </a:spcAft>
            <a:buChar char="•"/>
          </a:pPr>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控制台离屏幕太远</a:t>
          </a:r>
          <a:endParaRPr>
            <a:solidFill>
              <a:srgbClr val="000000"/>
            </a:solidFill>
          </a:endParaRPr>
        </a:p>
      </dsp:txBody>
      <dsp:txXfrm>
        <a:off x="2519858" y="-1391"/>
        <a:ext cx="1373962" cy="890906"/>
      </dsp:txXfrm>
    </dsp:sp>
    <dsp:sp modelId="{27C81C1C-B0E2-4BDB-8909-BB2571E8B5C7}">
      <dsp:nvSpPr>
        <dsp:cNvPr id="5" name="圆角矩形 4"/>
        <dsp:cNvSpPr/>
      </dsp:nvSpPr>
      <dsp:spPr bwMode="white">
        <a:xfrm>
          <a:off x="2519858" y="1891785"/>
          <a:ext cx="1373962" cy="890906"/>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sp:spPr>
      <dsp:style>
        <a:lnRef idx="2">
          <a:srgbClr val="4F81BD"/>
        </a:lnRef>
        <a:fillRef idx="1">
          <a:srgbClr val="FFFFFF">
            <a:alpha val="90000"/>
          </a:srgbClr>
        </a:fillRef>
        <a:effectRef idx="0">
          <a:scrgbClr r="0" g="0" b="0"/>
        </a:effectRef>
        <a:fontRef idx="minor"/>
      </dsp:style>
      <dsp:txBody>
        <a:bodyPr lIns="53340" tIns="53340" rIns="53340" bIns="5334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gn="l">
            <a:lnSpc>
              <a:spcPct val="100000"/>
            </a:lnSpc>
            <a:spcBef>
              <a:spcPct val="0"/>
            </a:spcBef>
            <a:spcAft>
              <a:spcPct val="15000"/>
            </a:spcAft>
            <a:buChar char="•"/>
          </a:pPr>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底座太高或控制台座椅过低</a:t>
          </a:r>
          <a:endParaRPr>
            <a:solidFill>
              <a:srgbClr val="000000"/>
            </a:solidFill>
          </a:endParaRPr>
        </a:p>
      </dsp:txBody>
      <dsp:txXfrm>
        <a:off x="2519858" y="1891785"/>
        <a:ext cx="1373962" cy="890906"/>
      </dsp:txXfrm>
    </dsp:sp>
    <dsp:sp modelId="{0C461F0A-64D0-4E4E-8DB1-40D658F10125}">
      <dsp:nvSpPr>
        <dsp:cNvPr id="6" name="圆角矩形 5"/>
        <dsp:cNvSpPr/>
      </dsp:nvSpPr>
      <dsp:spPr bwMode="white">
        <a:xfrm>
          <a:off x="278130" y="1891785"/>
          <a:ext cx="1373962" cy="890906"/>
        </a:xfrm>
        <a:prstGeom prst="roundRect">
          <a:avLst>
            <a:gd name="adj" fmla="val 10000"/>
          </a:avLst>
        </a:prstGeom>
        <a:solidFill>
          <a:sysClr val="window" lastClr="FFFFFF">
            <a:lumMod val="50000"/>
            <a:alpha val="90000"/>
          </a:sysClr>
        </a:solidFill>
        <a:ln w="12700" cap="flat" cmpd="sng" algn="ctr">
          <a:solidFill>
            <a:srgbClr val="5B9BD5">
              <a:hueOff val="0"/>
              <a:satOff val="0"/>
              <a:lumOff val="0"/>
              <a:alphaOff val="0"/>
            </a:srgbClr>
          </a:solidFill>
          <a:prstDash val="solid"/>
          <a:miter lim="800000"/>
        </a:ln>
        <a:effectLst/>
      </dsp:spPr>
      <dsp:style>
        <a:lnRef idx="2">
          <a:srgbClr val="4F81BD"/>
        </a:lnRef>
        <a:fillRef idx="1">
          <a:srgbClr val="FFFFFF">
            <a:alpha val="90000"/>
          </a:srgbClr>
        </a:fillRef>
        <a:effectRef idx="0">
          <a:scrgbClr r="0" g="0" b="0"/>
        </a:effectRef>
        <a:fontRef idx="minor"/>
      </dsp:style>
      <dsp:txBody>
        <a:bodyPr lIns="53340" tIns="53340" rIns="53340" bIns="5334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gn="l">
            <a:lnSpc>
              <a:spcPct val="100000"/>
            </a:lnSpc>
            <a:spcBef>
              <a:spcPct val="0"/>
            </a:spcBef>
            <a:spcAft>
              <a:spcPct val="15000"/>
            </a:spcAft>
            <a:buChar char="•"/>
          </a:pPr>
          <a:r>
            <a:rPr lang="zh-CN" altLang="en-US" dirty="0" smtClean="0">
              <a:solidFill>
                <a:sysClr val="windowText" lastClr="000000">
                  <a:hueOff val="0"/>
                  <a:satOff val="0"/>
                  <a:lumOff val="0"/>
                  <a:alphaOff val="0"/>
                </a:sysClr>
              </a:solidFill>
              <a:latin typeface="微软雅黑" panose="020B0503020204020204" pitchFamily="2" charset="-122"/>
              <a:ea typeface="微软雅黑" panose="020B0503020204020204" pitchFamily="2" charset="-122"/>
              <a:cs typeface="+mn-cs"/>
            </a:rPr>
            <a:t>底座太低或控制台座椅太高</a:t>
          </a:r>
          <a:endParaRPr>
            <a:solidFill>
              <a:srgbClr val="000000"/>
            </a:solidFill>
          </a:endParaRPr>
        </a:p>
      </dsp:txBody>
      <dsp:txXfrm>
        <a:off x="278130" y="1891785"/>
        <a:ext cx="1373962" cy="890906"/>
      </dsp:txXfrm>
    </dsp:sp>
    <dsp:sp modelId="{2FB3433F-80DB-4D66-954C-E37B0D4F03BC}">
      <dsp:nvSpPr>
        <dsp:cNvPr id="7" name="饼形 6"/>
        <dsp:cNvSpPr/>
      </dsp:nvSpPr>
      <dsp:spPr bwMode="white">
        <a:xfrm>
          <a:off x="914761" y="158534"/>
          <a:ext cx="1204303" cy="1204303"/>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gn="l">
            <a:lnSpc>
              <a:spcPct val="100000"/>
            </a:lnSpc>
            <a:spcBef>
              <a:spcPct val="0"/>
            </a:spcBef>
            <a:spcAft>
              <a:spcPct val="35000"/>
            </a:spcAft>
          </a:pPr>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造成操作员颈椎疲劳</a:t>
          </a:r>
          <a:endParaRPr lang="zh-CN" altLang="en-US" b="1" dirty="0">
            <a:solidFill>
              <a:sysClr val="window" lastClr="FFFFFF"/>
            </a:solidFill>
            <a:latin typeface="微软雅黑" panose="020B0503020204020204" pitchFamily="2" charset="-122"/>
            <a:ea typeface="微软雅黑" panose="020B0503020204020204" pitchFamily="2" charset="-122"/>
            <a:cs typeface="+mn-cs"/>
          </a:endParaRPr>
        </a:p>
      </dsp:txBody>
      <dsp:txXfrm>
        <a:off x="914761" y="158534"/>
        <a:ext cx="1204303" cy="1204303"/>
      </dsp:txXfrm>
    </dsp:sp>
    <dsp:sp modelId="{5ACE0F7B-1B2D-48CD-B149-AFCD439C152A}">
      <dsp:nvSpPr>
        <dsp:cNvPr id="8" name="饼形 7"/>
        <dsp:cNvSpPr/>
      </dsp:nvSpPr>
      <dsp:spPr bwMode="white">
        <a:xfrm rot="5400000">
          <a:off x="2113788" y="158534"/>
          <a:ext cx="1204303" cy="1204303"/>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rot="-5400000"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gn="l">
            <a:lnSpc>
              <a:spcPct val="100000"/>
            </a:lnSpc>
            <a:spcBef>
              <a:spcPct val="0"/>
            </a:spcBef>
            <a:spcAft>
              <a:spcPct val="35000"/>
            </a:spcAft>
          </a:pPr>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浪费太多可用空间</a:t>
          </a:r>
        </a:p>
      </dsp:txBody>
      <dsp:txXfrm rot="5400000">
        <a:off x="2113788" y="158534"/>
        <a:ext cx="1204303" cy="1204303"/>
      </dsp:txXfrm>
    </dsp:sp>
    <dsp:sp modelId="{7724C507-F61A-4BD5-BDDB-F70208AA5657}">
      <dsp:nvSpPr>
        <dsp:cNvPr id="9" name="饼形 8"/>
        <dsp:cNvSpPr/>
      </dsp:nvSpPr>
      <dsp:spPr bwMode="white">
        <a:xfrm rot="10800000">
          <a:off x="2113788" y="1358284"/>
          <a:ext cx="1204303" cy="1204303"/>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rot="10800000"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gn="l">
            <a:lnSpc>
              <a:spcPct val="100000"/>
            </a:lnSpc>
            <a:spcBef>
              <a:spcPct val="0"/>
            </a:spcBef>
            <a:spcAft>
              <a:spcPct val="35000"/>
            </a:spcAft>
          </a:pPr>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 最上层屏幕视角欠佳且颈椎疲劳</a:t>
          </a:r>
        </a:p>
      </dsp:txBody>
      <dsp:txXfrm rot="10800000">
        <a:off x="2113788" y="1358284"/>
        <a:ext cx="1204303" cy="1204303"/>
      </dsp:txXfrm>
    </dsp:sp>
    <dsp:sp modelId="{EEA1CE36-5B62-43A2-AFE6-D0A9843F5F8C}">
      <dsp:nvSpPr>
        <dsp:cNvPr id="10" name="饼形 9"/>
        <dsp:cNvSpPr/>
      </dsp:nvSpPr>
      <dsp:spPr bwMode="white">
        <a:xfrm rot="16200000">
          <a:off x="914761" y="1358284"/>
          <a:ext cx="1204303" cy="1204303"/>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rot="5400000"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gn="l">
            <a:lnSpc>
              <a:spcPct val="100000"/>
            </a:lnSpc>
            <a:spcBef>
              <a:spcPct val="0"/>
            </a:spcBef>
            <a:spcAft>
              <a:spcPct val="35000"/>
            </a:spcAft>
          </a:pPr>
          <a:r>
            <a:rPr lang="zh-CN" altLang="en-US" b="1" dirty="0" smtClean="0">
              <a:solidFill>
                <a:sysClr val="window" lastClr="FFFFFF"/>
              </a:solidFill>
              <a:latin typeface="微软雅黑" panose="020B0503020204020204" pitchFamily="2" charset="-122"/>
              <a:ea typeface="微软雅黑" panose="020B0503020204020204" pitchFamily="2" charset="-122"/>
              <a:cs typeface="+mn-cs"/>
            </a:rPr>
            <a:t>造成屏幕的遮挡</a:t>
          </a:r>
        </a:p>
      </dsp:txBody>
      <dsp:txXfrm rot="16200000">
        <a:off x="914761" y="1358284"/>
        <a:ext cx="1204303" cy="1204303"/>
      </dsp:txXfrm>
    </dsp:sp>
    <dsp:sp modelId="{6DC3A354-D88E-4C58-B8BD-A12274D6A424}">
      <dsp:nvSpPr>
        <dsp:cNvPr id="11" name="环形箭头 10"/>
        <dsp:cNvSpPr/>
      </dsp:nvSpPr>
      <dsp:spPr bwMode="white">
        <a:xfrm rot="5400000">
          <a:off x="1965656" y="1160570"/>
          <a:ext cx="372681" cy="361569"/>
        </a:xfrm>
        <a:prstGeom prst="circularArrow">
          <a:avLst/>
        </a:prstGeom>
        <a:solidFill>
          <a:sysClr val="window" lastClr="FFFFFF">
            <a:lumMod val="50000"/>
          </a:sysClr>
        </a:solidFill>
        <a:ln w="12700" cap="flat" cmpd="sng" algn="ctr">
          <a:solidFill>
            <a:sysClr val="window" lastClr="FFFFFF">
              <a:hueOff val="0"/>
              <a:satOff val="0"/>
              <a:lumOff val="0"/>
              <a:alphaOff val="0"/>
            </a:sysClr>
          </a:solidFill>
          <a:prstDash val="solid"/>
          <a:miter lim="800000"/>
        </a:ln>
        <a:effectLst/>
      </dsp:spPr>
      <dsp:style>
        <a:lnRef idx="2">
          <a:srgbClr val="FFFFFF"/>
        </a:lnRef>
        <a:fillRef idx="1">
          <a:srgbClr val="B2C1DB">
            <a:tint val="60000"/>
          </a:srgbClr>
        </a:fillRef>
        <a:effectRef idx="0">
          <a:scrgbClr r="0" g="0" b="0"/>
        </a:effectRef>
        <a:fontRef idx="minor"/>
      </dsp:style>
      <dsp:txXfrm rot="5400000">
        <a:off x="1965656" y="1160570"/>
        <a:ext cx="372681" cy="361569"/>
      </dsp:txXfrm>
    </dsp:sp>
    <dsp:sp modelId="{52301E01-D3E8-477B-B1AA-D7FC40D59F49}">
      <dsp:nvSpPr>
        <dsp:cNvPr id="12" name="环形箭头 11"/>
        <dsp:cNvSpPr/>
      </dsp:nvSpPr>
      <dsp:spPr bwMode="white">
        <a:xfrm rot="16351676">
          <a:off x="1931472" y="1168346"/>
          <a:ext cx="360490" cy="361569"/>
        </a:xfrm>
        <a:prstGeom prst="circularArrow">
          <a:avLst/>
        </a:prstGeom>
        <a:solidFill>
          <a:sysClr val="window" lastClr="FFFFFF">
            <a:lumMod val="50000"/>
          </a:sysClr>
        </a:solidFill>
        <a:ln w="12700" cap="flat" cmpd="sng" algn="ctr">
          <a:solidFill>
            <a:sysClr val="window" lastClr="FFFFFF">
              <a:hueOff val="0"/>
              <a:satOff val="0"/>
              <a:lumOff val="0"/>
              <a:alphaOff val="0"/>
            </a:sysClr>
          </a:solidFill>
          <a:prstDash val="solid"/>
          <a:miter lim="800000"/>
        </a:ln>
        <a:effectLst/>
      </dsp:spPr>
      <dsp:style>
        <a:lnRef idx="2">
          <a:srgbClr val="FFFFFF"/>
        </a:lnRef>
        <a:fillRef idx="1">
          <a:srgbClr val="B2C1DB">
            <a:tint val="60000"/>
          </a:srgbClr>
        </a:fillRef>
        <a:effectRef idx="0">
          <a:scrgbClr r="0" g="0" b="0"/>
        </a:effectRef>
        <a:fontRef idx="minor"/>
      </dsp:style>
      <dsp:txXfrm rot="16351676">
        <a:off x="1931472" y="1168346"/>
        <a:ext cx="360490" cy="361569"/>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vertAlign" val="none"/>
                  <dgm:param type="horz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vertAlign" val="none"/>
                  <dgm:param type="horz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vertAlign" val="none"/>
                  <dgm:param type="horz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type="pieWedge" r:blip="" rot="90">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type="pieWedge" r:blip="" rot="90">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type="pieWedge" r:blip="" rot="180">
                  <dgm:adjLst/>
                </dgm:shape>
              </dgm:if>
              <dgm:else name="Name40">
                <dgm:shape xmlns:r="http://schemas.openxmlformats.org/officeDocument/2006/relationships" type="pieWedge" r:blip="" rot="270">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type="pieWedge" r:blip="" rot="270">
                  <dgm:adjLst/>
                </dgm:shape>
              </dgm:if>
              <dgm:else name="Name43">
                <dgm:shape xmlns:r="http://schemas.openxmlformats.org/officeDocument/2006/relationships" type="pieWedge" r:blip="" rot="180">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type="leftCircularArrow" r:blip="" rot="180"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type="circularArrow" r:blip="" rot="180"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DC973-E63B-4CC8-A55B-69183A0E19BB}">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82</Pages>
  <Words>42158</Words>
  <Characters>46616</Characters>
  <Lines>263</Lines>
  <Paragraphs>74</Paragraphs>
  <TotalTime>41</TotalTime>
  <ScaleCrop>false</ScaleCrop>
  <LinksUpToDate>false</LinksUpToDate>
  <CharactersWithSpaces>49762</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2020-09-03T08:53:00Z</dcterms:created>
  <dc:creator>Administrator</dc:creator>
  <cp:lastModifiedBy>每天一改名</cp:lastModifiedBy>
  <cp:lastPrinted>2022-12-27T00:44:24Z</cp:lastPrinted>
  <dcterms:modified xsi:type="dcterms:W3CDTF">2022-12-27T01:45:20Z</dcterms:modified>
  <dc:title>合肥国家实验室“2022年度办公信息化 建设项目二期”项目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3ACD1E21870741A7BB7C532D334136E8</vt:lpwstr>
  </property>
</Properties>
</file>